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B3E9E" w14:textId="77777777" w:rsidR="008C3539" w:rsidRDefault="00636249" w:rsidP="00EA49F2">
      <w:pPr>
        <w:pStyle w:val="Ttuloprincipal"/>
        <w:spacing w:line="400" w:lineRule="exact"/>
        <w:rPr>
          <w:rFonts w:cs="Arial"/>
          <w:noProof/>
          <w:color w:val="072146" w:themeColor="accent4"/>
          <w:sz w:val="18"/>
          <w:szCs w:val="24"/>
        </w:rPr>
      </w:pPr>
      <w:r>
        <w:rPr>
          <w:rFonts w:cs="Arial"/>
          <w:noProof/>
          <w:color w:val="072146" w:themeColor="accent4"/>
          <w:sz w:val="18"/>
          <w:szCs w:val="24"/>
        </w:rPr>
        <w:t>GASTO EN SALUD DE LOS HOGARES ESPAÑOLES</w:t>
      </w:r>
    </w:p>
    <w:p w14:paraId="35FE03DF" w14:textId="77777777" w:rsidR="00FA5C46" w:rsidRPr="00E2752E" w:rsidRDefault="00AB750D" w:rsidP="00A93B60">
      <w:pPr>
        <w:pStyle w:val="Ttuloprincipal"/>
        <w:spacing w:line="400" w:lineRule="exact"/>
        <w:rPr>
          <w:i/>
          <w:spacing w:val="-4"/>
          <w:sz w:val="38"/>
          <w:szCs w:val="38"/>
        </w:rPr>
      </w:pPr>
      <w:r>
        <w:rPr>
          <w:i/>
          <w:spacing w:val="-4"/>
          <w:sz w:val="38"/>
          <w:szCs w:val="38"/>
        </w:rPr>
        <w:t>El gasto privado de las familias en salud aumenta un 50% desde 2003 y supone más de una cuarta parte del gasto sanitario total en España</w:t>
      </w:r>
    </w:p>
    <w:p w14:paraId="6CE75EFF" w14:textId="473C3657" w:rsidR="008C3539" w:rsidRDefault="00AA6800" w:rsidP="00183567">
      <w:pPr>
        <w:widowControl/>
        <w:spacing w:line="220" w:lineRule="exact"/>
        <w:ind w:right="0"/>
        <w:rPr>
          <w:rFonts w:asciiTheme="majorHAnsi" w:hAnsiTheme="majorHAnsi"/>
          <w:i/>
          <w:iCs/>
          <w:color w:val="121212"/>
          <w:sz w:val="19"/>
          <w:szCs w:val="19"/>
        </w:rPr>
        <w:sectPr w:rsidR="008C3539" w:rsidSect="004E4A44">
          <w:headerReference w:type="default" r:id="rId8"/>
          <w:footerReference w:type="default" r:id="rId9"/>
          <w:headerReference w:type="first" r:id="rId10"/>
          <w:type w:val="continuous"/>
          <w:pgSz w:w="11900" w:h="16840" w:code="9"/>
          <w:pgMar w:top="2466" w:right="771" w:bottom="567" w:left="709" w:header="709" w:footer="0" w:gutter="0"/>
          <w:cols w:space="227"/>
          <w:titlePg/>
          <w:docGrid w:linePitch="360"/>
        </w:sectPr>
      </w:pPr>
      <w:r w:rsidRPr="00AA6800">
        <w:rPr>
          <w:rFonts w:asciiTheme="majorHAnsi" w:hAnsiTheme="majorHAnsi"/>
          <w:i/>
          <w:iCs/>
          <w:color w:val="121212"/>
          <w:sz w:val="19"/>
          <w:szCs w:val="19"/>
        </w:rPr>
        <w:t>E</w:t>
      </w:r>
      <w:r w:rsidR="00A22316">
        <w:rPr>
          <w:rFonts w:asciiTheme="majorHAnsi" w:hAnsiTheme="majorHAnsi"/>
          <w:i/>
          <w:iCs/>
          <w:color w:val="121212"/>
          <w:sz w:val="19"/>
          <w:szCs w:val="19"/>
        </w:rPr>
        <w:t>n España, e</w:t>
      </w:r>
      <w:r w:rsidRPr="00AA6800">
        <w:rPr>
          <w:rFonts w:asciiTheme="majorHAnsi" w:hAnsiTheme="majorHAnsi"/>
          <w:i/>
          <w:iCs/>
          <w:color w:val="121212"/>
          <w:sz w:val="19"/>
          <w:szCs w:val="19"/>
        </w:rPr>
        <w:t xml:space="preserve">l gasto </w:t>
      </w:r>
      <w:r w:rsidR="00A22316">
        <w:rPr>
          <w:rFonts w:asciiTheme="majorHAnsi" w:hAnsiTheme="majorHAnsi"/>
          <w:i/>
          <w:iCs/>
          <w:color w:val="121212"/>
          <w:sz w:val="19"/>
          <w:szCs w:val="19"/>
        </w:rPr>
        <w:t>público en salud es ampliamente mayoritario</w:t>
      </w:r>
      <w:r w:rsidR="00F43A54">
        <w:rPr>
          <w:rFonts w:asciiTheme="majorHAnsi" w:hAnsiTheme="majorHAnsi"/>
          <w:i/>
          <w:iCs/>
          <w:color w:val="121212"/>
          <w:sz w:val="19"/>
          <w:szCs w:val="19"/>
        </w:rPr>
        <w:t xml:space="preserve"> (representa tres de cada cuatro euros gastados),</w:t>
      </w:r>
      <w:r w:rsidR="00A261FB">
        <w:rPr>
          <w:rFonts w:asciiTheme="majorHAnsi" w:hAnsiTheme="majorHAnsi"/>
          <w:i/>
          <w:iCs/>
          <w:color w:val="121212"/>
          <w:sz w:val="19"/>
          <w:szCs w:val="19"/>
        </w:rPr>
        <w:t xml:space="preserve"> </w:t>
      </w:r>
      <w:r w:rsidR="00A22316">
        <w:rPr>
          <w:rFonts w:asciiTheme="majorHAnsi" w:hAnsiTheme="majorHAnsi"/>
          <w:i/>
          <w:iCs/>
          <w:color w:val="121212"/>
          <w:sz w:val="19"/>
          <w:szCs w:val="19"/>
        </w:rPr>
        <w:t xml:space="preserve">pero el gasto privado </w:t>
      </w:r>
      <w:r w:rsidRPr="00AA6800">
        <w:rPr>
          <w:rFonts w:asciiTheme="majorHAnsi" w:hAnsiTheme="majorHAnsi"/>
          <w:i/>
          <w:iCs/>
          <w:color w:val="121212"/>
          <w:sz w:val="19"/>
          <w:szCs w:val="19"/>
        </w:rPr>
        <w:t xml:space="preserve">ha </w:t>
      </w:r>
      <w:r w:rsidR="00207A25">
        <w:rPr>
          <w:rFonts w:asciiTheme="majorHAnsi" w:hAnsiTheme="majorHAnsi"/>
          <w:i/>
          <w:iCs/>
          <w:color w:val="121212"/>
          <w:sz w:val="19"/>
          <w:szCs w:val="19"/>
        </w:rPr>
        <w:t>mantenido</w:t>
      </w:r>
      <w:r w:rsidRPr="00AA6800">
        <w:rPr>
          <w:rFonts w:asciiTheme="majorHAnsi" w:hAnsiTheme="majorHAnsi"/>
          <w:i/>
          <w:iCs/>
          <w:color w:val="121212"/>
          <w:sz w:val="19"/>
          <w:szCs w:val="19"/>
        </w:rPr>
        <w:t xml:space="preserve"> una tendencia creciente en l</w:t>
      </w:r>
      <w:r w:rsidR="00DB6B28">
        <w:rPr>
          <w:rFonts w:asciiTheme="majorHAnsi" w:hAnsiTheme="majorHAnsi"/>
          <w:i/>
          <w:iCs/>
          <w:color w:val="121212"/>
          <w:sz w:val="19"/>
          <w:szCs w:val="19"/>
        </w:rPr>
        <w:t>os dos últimos decenios</w:t>
      </w:r>
      <w:r w:rsidR="004114BE">
        <w:rPr>
          <w:rFonts w:asciiTheme="majorHAnsi" w:hAnsiTheme="majorHAnsi"/>
          <w:i/>
          <w:iCs/>
          <w:color w:val="121212"/>
          <w:sz w:val="19"/>
          <w:szCs w:val="19"/>
        </w:rPr>
        <w:t>,</w:t>
      </w:r>
      <w:r w:rsidR="00A22316">
        <w:rPr>
          <w:rFonts w:asciiTheme="majorHAnsi" w:hAnsiTheme="majorHAnsi"/>
          <w:i/>
          <w:iCs/>
          <w:color w:val="121212"/>
          <w:sz w:val="19"/>
          <w:szCs w:val="19"/>
        </w:rPr>
        <w:t xml:space="preserve"> más regular que el público</w:t>
      </w:r>
      <w:r w:rsidR="004114BE">
        <w:rPr>
          <w:rFonts w:asciiTheme="majorHAnsi" w:hAnsiTheme="majorHAnsi"/>
          <w:i/>
          <w:iCs/>
          <w:color w:val="121212"/>
          <w:sz w:val="19"/>
          <w:szCs w:val="19"/>
        </w:rPr>
        <w:t>,</w:t>
      </w:r>
      <w:r w:rsidR="00A22316">
        <w:rPr>
          <w:rFonts w:asciiTheme="majorHAnsi" w:hAnsiTheme="majorHAnsi"/>
          <w:i/>
          <w:iCs/>
          <w:color w:val="121212"/>
          <w:sz w:val="19"/>
          <w:szCs w:val="19"/>
        </w:rPr>
        <w:t xml:space="preserve"> </w:t>
      </w:r>
      <w:r w:rsidR="00426702">
        <w:rPr>
          <w:rFonts w:asciiTheme="majorHAnsi" w:hAnsiTheme="majorHAnsi"/>
          <w:i/>
          <w:iCs/>
          <w:color w:val="121212"/>
          <w:sz w:val="19"/>
          <w:szCs w:val="19"/>
        </w:rPr>
        <w:t xml:space="preserve">y </w:t>
      </w:r>
      <w:r w:rsidR="00207A25">
        <w:rPr>
          <w:rFonts w:asciiTheme="majorHAnsi" w:hAnsiTheme="majorHAnsi"/>
          <w:i/>
          <w:iCs/>
          <w:color w:val="121212"/>
          <w:sz w:val="19"/>
          <w:szCs w:val="19"/>
        </w:rPr>
        <w:t xml:space="preserve">actualmente </w:t>
      </w:r>
      <w:r w:rsidR="00721A48">
        <w:rPr>
          <w:rFonts w:asciiTheme="majorHAnsi" w:hAnsiTheme="majorHAnsi"/>
          <w:i/>
          <w:iCs/>
          <w:color w:val="121212"/>
          <w:sz w:val="19"/>
          <w:szCs w:val="19"/>
        </w:rPr>
        <w:t xml:space="preserve">supone </w:t>
      </w:r>
      <w:r w:rsidR="00426702">
        <w:rPr>
          <w:rFonts w:asciiTheme="majorHAnsi" w:hAnsiTheme="majorHAnsi"/>
          <w:i/>
          <w:iCs/>
          <w:color w:val="121212"/>
          <w:sz w:val="19"/>
          <w:szCs w:val="19"/>
        </w:rPr>
        <w:t>el 25,9% del gasto sanitario total</w:t>
      </w:r>
      <w:r w:rsidRPr="00AA6800">
        <w:rPr>
          <w:rFonts w:asciiTheme="majorHAnsi" w:hAnsiTheme="majorHAnsi"/>
          <w:i/>
          <w:iCs/>
          <w:color w:val="121212"/>
          <w:sz w:val="19"/>
          <w:szCs w:val="19"/>
        </w:rPr>
        <w:t xml:space="preserve">. </w:t>
      </w:r>
      <w:r w:rsidR="00CD35EE">
        <w:rPr>
          <w:rFonts w:asciiTheme="majorHAnsi" w:hAnsiTheme="majorHAnsi"/>
          <w:i/>
          <w:iCs/>
          <w:color w:val="121212"/>
          <w:sz w:val="19"/>
          <w:szCs w:val="19"/>
        </w:rPr>
        <w:t>Entre 2003 y 2022, el gasto privado en salud aumentó un 50%</w:t>
      </w:r>
      <w:r w:rsidR="00D664F7">
        <w:rPr>
          <w:rFonts w:asciiTheme="majorHAnsi" w:hAnsiTheme="majorHAnsi"/>
          <w:i/>
          <w:iCs/>
          <w:color w:val="121212"/>
          <w:sz w:val="19"/>
          <w:szCs w:val="19"/>
        </w:rPr>
        <w:t>,</w:t>
      </w:r>
      <w:r w:rsidR="00CD35EE">
        <w:rPr>
          <w:rFonts w:asciiTheme="majorHAnsi" w:hAnsiTheme="majorHAnsi"/>
          <w:i/>
          <w:iCs/>
          <w:color w:val="121212"/>
          <w:sz w:val="19"/>
          <w:szCs w:val="19"/>
        </w:rPr>
        <w:t xml:space="preserve"> hasta situarse en 33.606 millones de euros.</w:t>
      </w:r>
      <w:r w:rsidR="009F23B8">
        <w:rPr>
          <w:rFonts w:asciiTheme="majorHAnsi" w:hAnsiTheme="majorHAnsi"/>
          <w:i/>
          <w:iCs/>
          <w:color w:val="121212"/>
          <w:sz w:val="19"/>
          <w:szCs w:val="19"/>
        </w:rPr>
        <w:t xml:space="preserve"> </w:t>
      </w:r>
      <w:r w:rsidR="00CD35EE">
        <w:rPr>
          <w:rFonts w:asciiTheme="majorHAnsi" w:hAnsiTheme="majorHAnsi"/>
          <w:i/>
          <w:iCs/>
          <w:color w:val="121212"/>
          <w:sz w:val="19"/>
          <w:szCs w:val="19"/>
        </w:rPr>
        <w:t>Los</w:t>
      </w:r>
      <w:r w:rsidR="004114BE">
        <w:rPr>
          <w:rFonts w:asciiTheme="majorHAnsi" w:hAnsiTheme="majorHAnsi"/>
          <w:i/>
          <w:iCs/>
          <w:color w:val="121212"/>
          <w:sz w:val="19"/>
          <w:szCs w:val="19"/>
        </w:rPr>
        <w:t xml:space="preserve"> hogares</w:t>
      </w:r>
      <w:r w:rsidRPr="00AA6800">
        <w:rPr>
          <w:rFonts w:asciiTheme="majorHAnsi" w:hAnsiTheme="majorHAnsi"/>
          <w:i/>
          <w:iCs/>
          <w:color w:val="121212"/>
          <w:sz w:val="19"/>
          <w:szCs w:val="19"/>
        </w:rPr>
        <w:t xml:space="preserve"> españoles dedicaron, en promedio, </w:t>
      </w:r>
      <w:r w:rsidR="009E18CE">
        <w:rPr>
          <w:rFonts w:asciiTheme="majorHAnsi" w:hAnsiTheme="majorHAnsi"/>
          <w:i/>
          <w:iCs/>
          <w:color w:val="121212"/>
          <w:sz w:val="19"/>
          <w:szCs w:val="19"/>
        </w:rPr>
        <w:t>631</w:t>
      </w:r>
      <w:r w:rsidRPr="00AA6800">
        <w:rPr>
          <w:rFonts w:asciiTheme="majorHAnsi" w:hAnsiTheme="majorHAnsi"/>
          <w:i/>
          <w:iCs/>
          <w:color w:val="121212"/>
          <w:sz w:val="19"/>
          <w:szCs w:val="19"/>
        </w:rPr>
        <w:t xml:space="preserve"> euros al cuidado de la salud</w:t>
      </w:r>
      <w:r w:rsidR="004114BE">
        <w:rPr>
          <w:rFonts w:asciiTheme="majorHAnsi" w:hAnsiTheme="majorHAnsi"/>
          <w:i/>
          <w:iCs/>
          <w:color w:val="121212"/>
          <w:sz w:val="19"/>
          <w:szCs w:val="19"/>
        </w:rPr>
        <w:t xml:space="preserve"> por cada uno de sus miembros</w:t>
      </w:r>
      <w:r w:rsidR="00CD35EE">
        <w:rPr>
          <w:rFonts w:asciiTheme="majorHAnsi" w:hAnsiTheme="majorHAnsi"/>
          <w:i/>
          <w:iCs/>
          <w:color w:val="121212"/>
          <w:sz w:val="19"/>
          <w:szCs w:val="19"/>
        </w:rPr>
        <w:t xml:space="preserve"> en 2023</w:t>
      </w:r>
      <w:r w:rsidR="00DE6B41">
        <w:rPr>
          <w:rFonts w:asciiTheme="majorHAnsi" w:hAnsiTheme="majorHAnsi"/>
          <w:i/>
          <w:iCs/>
          <w:color w:val="121212"/>
          <w:sz w:val="19"/>
          <w:szCs w:val="19"/>
        </w:rPr>
        <w:t xml:space="preserve">, según </w:t>
      </w:r>
      <w:r w:rsidR="00DE6B41" w:rsidRPr="00DE6B41">
        <w:rPr>
          <w:rFonts w:asciiTheme="majorHAnsi" w:hAnsiTheme="majorHAnsi"/>
          <w:i/>
          <w:iCs/>
          <w:color w:val="121212"/>
          <w:sz w:val="19"/>
          <w:szCs w:val="19"/>
        </w:rPr>
        <w:t>la Encuesta de Presupuestos Familiares (EPF) del INE</w:t>
      </w:r>
      <w:r w:rsidR="00CD35EE">
        <w:rPr>
          <w:rFonts w:asciiTheme="majorHAnsi" w:hAnsiTheme="majorHAnsi"/>
          <w:i/>
          <w:iCs/>
          <w:color w:val="121212"/>
          <w:sz w:val="19"/>
          <w:szCs w:val="19"/>
        </w:rPr>
        <w:t xml:space="preserve">. </w:t>
      </w:r>
      <w:r w:rsidR="003A143B">
        <w:rPr>
          <w:rFonts w:asciiTheme="majorHAnsi" w:hAnsiTheme="majorHAnsi"/>
          <w:i/>
          <w:iCs/>
          <w:color w:val="121212"/>
          <w:sz w:val="19"/>
          <w:szCs w:val="19"/>
        </w:rPr>
        <w:t>La</w:t>
      </w:r>
      <w:r w:rsidR="00294349" w:rsidRPr="00294349">
        <w:rPr>
          <w:rFonts w:asciiTheme="majorHAnsi" w:hAnsiTheme="majorHAnsi"/>
          <w:i/>
          <w:iCs/>
          <w:color w:val="121212"/>
          <w:sz w:val="19"/>
          <w:szCs w:val="19"/>
        </w:rPr>
        <w:t xml:space="preserve"> mitad </w:t>
      </w:r>
      <w:r w:rsidR="00294349">
        <w:rPr>
          <w:rFonts w:asciiTheme="majorHAnsi" w:hAnsiTheme="majorHAnsi"/>
          <w:i/>
          <w:iCs/>
          <w:color w:val="121212"/>
          <w:sz w:val="19"/>
          <w:szCs w:val="19"/>
        </w:rPr>
        <w:t xml:space="preserve">del presupuesto privado en salud se </w:t>
      </w:r>
      <w:r w:rsidR="00294349" w:rsidRPr="00294349">
        <w:rPr>
          <w:rFonts w:asciiTheme="majorHAnsi" w:hAnsiTheme="majorHAnsi"/>
          <w:i/>
          <w:iCs/>
          <w:color w:val="121212"/>
          <w:sz w:val="19"/>
          <w:szCs w:val="19"/>
        </w:rPr>
        <w:t>destin</w:t>
      </w:r>
      <w:r w:rsidR="00294349">
        <w:rPr>
          <w:rFonts w:asciiTheme="majorHAnsi" w:hAnsiTheme="majorHAnsi"/>
          <w:i/>
          <w:iCs/>
          <w:color w:val="121212"/>
          <w:sz w:val="19"/>
          <w:szCs w:val="19"/>
        </w:rPr>
        <w:t>ó</w:t>
      </w:r>
      <w:r w:rsidR="00294349" w:rsidRPr="00294349">
        <w:rPr>
          <w:rFonts w:asciiTheme="majorHAnsi" w:hAnsiTheme="majorHAnsi"/>
          <w:i/>
          <w:iCs/>
          <w:color w:val="121212"/>
          <w:sz w:val="19"/>
          <w:szCs w:val="19"/>
        </w:rPr>
        <w:t xml:space="preserve"> a la compra de aparatos y equipos terapéuticos (gafas graduadas, audífonos) y a los gastos relacionados con seguros de salud</w:t>
      </w:r>
      <w:r w:rsidR="003A143B">
        <w:rPr>
          <w:rFonts w:asciiTheme="majorHAnsi" w:hAnsiTheme="majorHAnsi"/>
          <w:i/>
          <w:iCs/>
          <w:color w:val="121212"/>
          <w:sz w:val="19"/>
          <w:szCs w:val="19"/>
        </w:rPr>
        <w:t>, mientras que la otra mitad se empleó en la adquisición de productos farmacéuticos y costear servicios médicos y hospitalarios</w:t>
      </w:r>
      <w:r w:rsidR="00E254D5">
        <w:rPr>
          <w:rFonts w:asciiTheme="majorHAnsi" w:hAnsiTheme="majorHAnsi"/>
          <w:i/>
          <w:iCs/>
          <w:color w:val="121212"/>
          <w:sz w:val="19"/>
          <w:szCs w:val="19"/>
        </w:rPr>
        <w:t>, servicios dentales y otros auxiliares</w:t>
      </w:r>
      <w:r w:rsidRPr="00AA6800">
        <w:rPr>
          <w:rFonts w:asciiTheme="majorHAnsi" w:hAnsiTheme="majorHAnsi"/>
          <w:i/>
          <w:iCs/>
          <w:color w:val="121212"/>
          <w:sz w:val="19"/>
          <w:szCs w:val="19"/>
        </w:rPr>
        <w:t>.</w:t>
      </w:r>
      <w:r w:rsidR="003A143B">
        <w:rPr>
          <w:rFonts w:asciiTheme="majorHAnsi" w:hAnsiTheme="majorHAnsi"/>
          <w:i/>
          <w:iCs/>
          <w:color w:val="121212"/>
          <w:sz w:val="19"/>
          <w:szCs w:val="19"/>
        </w:rPr>
        <w:t xml:space="preserve"> </w:t>
      </w:r>
      <w:r w:rsidR="009F23B8">
        <w:rPr>
          <w:rFonts w:asciiTheme="majorHAnsi" w:hAnsiTheme="majorHAnsi"/>
          <w:i/>
          <w:iCs/>
          <w:color w:val="121212"/>
          <w:sz w:val="19"/>
          <w:szCs w:val="19"/>
        </w:rPr>
        <w:t xml:space="preserve">Los </w:t>
      </w:r>
      <w:r w:rsidR="005F6335">
        <w:rPr>
          <w:rFonts w:asciiTheme="majorHAnsi" w:hAnsiTheme="majorHAnsi"/>
          <w:i/>
          <w:iCs/>
          <w:color w:val="121212"/>
          <w:sz w:val="19"/>
          <w:szCs w:val="19"/>
        </w:rPr>
        <w:t>seguros privados</w:t>
      </w:r>
      <w:r w:rsidR="009F23B8">
        <w:rPr>
          <w:rFonts w:asciiTheme="majorHAnsi" w:hAnsiTheme="majorHAnsi"/>
          <w:i/>
          <w:iCs/>
          <w:color w:val="121212"/>
          <w:sz w:val="19"/>
          <w:szCs w:val="19"/>
        </w:rPr>
        <w:t xml:space="preserve"> han ganado 5 puntos en </w:t>
      </w:r>
      <w:r w:rsidR="000C189A">
        <w:rPr>
          <w:rFonts w:asciiTheme="majorHAnsi" w:hAnsiTheme="majorHAnsi"/>
          <w:i/>
          <w:iCs/>
          <w:color w:val="121212"/>
          <w:sz w:val="19"/>
          <w:szCs w:val="19"/>
        </w:rPr>
        <w:t xml:space="preserve">el </w:t>
      </w:r>
      <w:r w:rsidR="009F23B8">
        <w:rPr>
          <w:rFonts w:asciiTheme="majorHAnsi" w:hAnsiTheme="majorHAnsi"/>
          <w:i/>
          <w:iCs/>
          <w:color w:val="121212"/>
          <w:sz w:val="19"/>
          <w:szCs w:val="19"/>
        </w:rPr>
        <w:t>gasto en salud de las familias</w:t>
      </w:r>
      <w:r w:rsidR="0078182D">
        <w:rPr>
          <w:rFonts w:asciiTheme="majorHAnsi" w:hAnsiTheme="majorHAnsi"/>
          <w:i/>
          <w:iCs/>
          <w:color w:val="121212"/>
          <w:sz w:val="19"/>
          <w:szCs w:val="19"/>
        </w:rPr>
        <w:t>,</w:t>
      </w:r>
      <w:r w:rsidR="000C189A">
        <w:rPr>
          <w:rFonts w:asciiTheme="majorHAnsi" w:hAnsiTheme="majorHAnsi"/>
          <w:i/>
          <w:iCs/>
          <w:color w:val="121212"/>
          <w:sz w:val="19"/>
          <w:szCs w:val="19"/>
        </w:rPr>
        <w:t xml:space="preserve"> </w:t>
      </w:r>
      <w:r w:rsidR="00A261FB">
        <w:rPr>
          <w:rFonts w:asciiTheme="majorHAnsi" w:hAnsiTheme="majorHAnsi"/>
          <w:i/>
          <w:iCs/>
          <w:color w:val="121212"/>
          <w:sz w:val="19"/>
          <w:szCs w:val="19"/>
        </w:rPr>
        <w:t>hasta suponer un</w:t>
      </w:r>
      <w:r w:rsidR="003F6899">
        <w:rPr>
          <w:rFonts w:asciiTheme="majorHAnsi" w:hAnsiTheme="majorHAnsi"/>
          <w:i/>
          <w:iCs/>
          <w:color w:val="121212"/>
          <w:sz w:val="19"/>
          <w:szCs w:val="19"/>
        </w:rPr>
        <w:t xml:space="preserve"> </w:t>
      </w:r>
      <w:r w:rsidR="004114BE">
        <w:rPr>
          <w:rFonts w:asciiTheme="majorHAnsi" w:hAnsiTheme="majorHAnsi"/>
          <w:i/>
          <w:iCs/>
          <w:color w:val="121212"/>
          <w:sz w:val="19"/>
          <w:szCs w:val="19"/>
        </w:rPr>
        <w:t>20,7</w:t>
      </w:r>
      <w:r w:rsidR="00A261FB">
        <w:rPr>
          <w:rFonts w:asciiTheme="majorHAnsi" w:hAnsiTheme="majorHAnsi"/>
          <w:i/>
          <w:iCs/>
          <w:color w:val="121212"/>
          <w:sz w:val="19"/>
          <w:szCs w:val="19"/>
        </w:rPr>
        <w:t>%</w:t>
      </w:r>
      <w:r w:rsidR="000C189A">
        <w:rPr>
          <w:rFonts w:asciiTheme="majorHAnsi" w:hAnsiTheme="majorHAnsi"/>
          <w:i/>
          <w:iCs/>
          <w:color w:val="121212"/>
          <w:sz w:val="19"/>
          <w:szCs w:val="19"/>
        </w:rPr>
        <w:t xml:space="preserve"> del total.</w:t>
      </w:r>
    </w:p>
    <w:p w14:paraId="03344671" w14:textId="77777777" w:rsidR="008C3539" w:rsidRDefault="00631220" w:rsidP="008C3539">
      <w:pPr>
        <w:widowControl/>
        <w:spacing w:before="120"/>
        <w:ind w:right="0"/>
        <w:rPr>
          <w:color w:val="545454"/>
          <w:sz w:val="17"/>
          <w:szCs w:val="17"/>
        </w:rPr>
      </w:pPr>
      <w:r>
        <w:rPr>
          <w:color w:val="545454"/>
          <w:sz w:val="17"/>
          <w:szCs w:val="17"/>
        </w:rPr>
        <w:t xml:space="preserve">En </w:t>
      </w:r>
      <w:r w:rsidR="001B5334">
        <w:rPr>
          <w:color w:val="545454"/>
          <w:sz w:val="17"/>
          <w:szCs w:val="17"/>
        </w:rPr>
        <w:t>el siglo XXI</w:t>
      </w:r>
      <w:r>
        <w:rPr>
          <w:color w:val="545454"/>
          <w:sz w:val="17"/>
          <w:szCs w:val="17"/>
        </w:rPr>
        <w:t xml:space="preserve"> se</w:t>
      </w:r>
      <w:r w:rsidR="001B5334">
        <w:rPr>
          <w:color w:val="545454"/>
          <w:sz w:val="17"/>
          <w:szCs w:val="17"/>
        </w:rPr>
        <w:t xml:space="preserve"> </w:t>
      </w:r>
      <w:r>
        <w:rPr>
          <w:color w:val="545454"/>
          <w:sz w:val="17"/>
          <w:szCs w:val="17"/>
        </w:rPr>
        <w:t xml:space="preserve">han desarrollado </w:t>
      </w:r>
      <w:r w:rsidR="0078182D">
        <w:rPr>
          <w:color w:val="545454"/>
          <w:sz w:val="17"/>
          <w:szCs w:val="17"/>
        </w:rPr>
        <w:t xml:space="preserve">varios </w:t>
      </w:r>
      <w:r w:rsidR="001B5334">
        <w:rPr>
          <w:color w:val="545454"/>
          <w:sz w:val="17"/>
          <w:szCs w:val="17"/>
        </w:rPr>
        <w:t xml:space="preserve">procesos relevantes </w:t>
      </w:r>
      <w:r>
        <w:rPr>
          <w:color w:val="545454"/>
          <w:sz w:val="17"/>
          <w:szCs w:val="17"/>
        </w:rPr>
        <w:t xml:space="preserve">para </w:t>
      </w:r>
      <w:r w:rsidR="001B5334">
        <w:rPr>
          <w:color w:val="545454"/>
          <w:sz w:val="17"/>
          <w:szCs w:val="17"/>
        </w:rPr>
        <w:t xml:space="preserve">los servicios </w:t>
      </w:r>
      <w:r w:rsidR="00895891">
        <w:rPr>
          <w:color w:val="545454"/>
          <w:sz w:val="17"/>
          <w:szCs w:val="17"/>
        </w:rPr>
        <w:t xml:space="preserve">de </w:t>
      </w:r>
      <w:r>
        <w:rPr>
          <w:color w:val="545454"/>
          <w:sz w:val="17"/>
          <w:szCs w:val="17"/>
        </w:rPr>
        <w:t xml:space="preserve">salud </w:t>
      </w:r>
      <w:r w:rsidR="001B5334">
        <w:rPr>
          <w:color w:val="545454"/>
          <w:sz w:val="17"/>
          <w:szCs w:val="17"/>
        </w:rPr>
        <w:t xml:space="preserve">prestados en </w:t>
      </w:r>
      <w:r>
        <w:rPr>
          <w:color w:val="545454"/>
          <w:sz w:val="17"/>
          <w:szCs w:val="17"/>
        </w:rPr>
        <w:t>España</w:t>
      </w:r>
      <w:r w:rsidR="001B5334">
        <w:rPr>
          <w:color w:val="545454"/>
          <w:sz w:val="17"/>
          <w:szCs w:val="17"/>
        </w:rPr>
        <w:t xml:space="preserve">: el traspaso de competencias a las comunidades autónomas, el avance del envejecimiento de la población, el progreso de las tecnologías y terapias sanitarias, </w:t>
      </w:r>
      <w:r>
        <w:rPr>
          <w:color w:val="545454"/>
          <w:sz w:val="17"/>
          <w:szCs w:val="17"/>
        </w:rPr>
        <w:t>un</w:t>
      </w:r>
      <w:r w:rsidR="001B5334">
        <w:rPr>
          <w:color w:val="545454"/>
          <w:sz w:val="17"/>
          <w:szCs w:val="17"/>
        </w:rPr>
        <w:t xml:space="preserve">a crisis </w:t>
      </w:r>
      <w:r>
        <w:rPr>
          <w:color w:val="545454"/>
          <w:sz w:val="17"/>
          <w:szCs w:val="17"/>
        </w:rPr>
        <w:t xml:space="preserve">financiera </w:t>
      </w:r>
      <w:r w:rsidR="001B5334">
        <w:rPr>
          <w:color w:val="545454"/>
          <w:sz w:val="17"/>
          <w:szCs w:val="17"/>
        </w:rPr>
        <w:t xml:space="preserve">que supuso fuertes </w:t>
      </w:r>
      <w:r w:rsidR="009662B3">
        <w:rPr>
          <w:color w:val="545454"/>
          <w:sz w:val="17"/>
          <w:szCs w:val="17"/>
        </w:rPr>
        <w:t xml:space="preserve">ajustes </w:t>
      </w:r>
      <w:r w:rsidR="001B5334">
        <w:rPr>
          <w:color w:val="545454"/>
          <w:sz w:val="17"/>
          <w:szCs w:val="17"/>
        </w:rPr>
        <w:t>en los recursos de la sanidad pública</w:t>
      </w:r>
      <w:r w:rsidR="0078182D">
        <w:rPr>
          <w:color w:val="545454"/>
          <w:sz w:val="17"/>
          <w:szCs w:val="17"/>
        </w:rPr>
        <w:t>,</w:t>
      </w:r>
      <w:r w:rsidR="001B5334">
        <w:rPr>
          <w:color w:val="545454"/>
          <w:sz w:val="17"/>
          <w:szCs w:val="17"/>
        </w:rPr>
        <w:t xml:space="preserve"> y la emergencia sanitaria provocada por la pandemia de la covid-19</w:t>
      </w:r>
      <w:r w:rsidR="0059597A">
        <w:rPr>
          <w:color w:val="545454"/>
          <w:sz w:val="17"/>
          <w:szCs w:val="17"/>
        </w:rPr>
        <w:t>.</w:t>
      </w:r>
      <w:r>
        <w:rPr>
          <w:color w:val="545454"/>
          <w:sz w:val="17"/>
          <w:szCs w:val="17"/>
        </w:rPr>
        <w:t xml:space="preserve"> Estos importantes cambios han incidido sobre la evolución del gasto en salud de las administraciones y de las familias.</w:t>
      </w:r>
    </w:p>
    <w:p w14:paraId="077EFC73" w14:textId="77777777" w:rsidR="001B5334" w:rsidRDefault="00DD145F" w:rsidP="008C3539">
      <w:pPr>
        <w:widowControl/>
        <w:spacing w:before="120"/>
        <w:ind w:right="0"/>
        <w:rPr>
          <w:color w:val="545454"/>
          <w:sz w:val="17"/>
          <w:szCs w:val="17"/>
        </w:rPr>
      </w:pPr>
      <w:r>
        <w:rPr>
          <w:color w:val="545454"/>
          <w:sz w:val="17"/>
          <w:szCs w:val="17"/>
        </w:rPr>
        <w:t xml:space="preserve">La mayor parte del incremento </w:t>
      </w:r>
      <w:r w:rsidR="005830F9">
        <w:rPr>
          <w:color w:val="545454"/>
          <w:sz w:val="17"/>
          <w:szCs w:val="17"/>
        </w:rPr>
        <w:t>de</w:t>
      </w:r>
      <w:r>
        <w:rPr>
          <w:color w:val="545454"/>
          <w:sz w:val="17"/>
          <w:szCs w:val="17"/>
        </w:rPr>
        <w:t>l gasto público en sanidad en las últimas décadas se produjo</w:t>
      </w:r>
      <w:r w:rsidR="005830F9">
        <w:rPr>
          <w:color w:val="545454"/>
          <w:sz w:val="17"/>
          <w:szCs w:val="17"/>
        </w:rPr>
        <w:t xml:space="preserve"> </w:t>
      </w:r>
      <w:r w:rsidR="00597C65">
        <w:rPr>
          <w:color w:val="545454"/>
          <w:sz w:val="17"/>
          <w:szCs w:val="17"/>
        </w:rPr>
        <w:t xml:space="preserve">en los años de crecimiento económico anteriores a la Gran Recesión, </w:t>
      </w:r>
      <w:r w:rsidR="005830F9">
        <w:rPr>
          <w:color w:val="545454"/>
          <w:sz w:val="17"/>
          <w:szCs w:val="17"/>
        </w:rPr>
        <w:t xml:space="preserve">tras completarse la </w:t>
      </w:r>
      <w:r w:rsidR="00056298">
        <w:rPr>
          <w:color w:val="545454"/>
          <w:sz w:val="17"/>
          <w:szCs w:val="17"/>
        </w:rPr>
        <w:t>descentralización sanitaria</w:t>
      </w:r>
      <w:r w:rsidR="005830F9">
        <w:rPr>
          <w:color w:val="545454"/>
          <w:sz w:val="17"/>
          <w:szCs w:val="17"/>
        </w:rPr>
        <w:t xml:space="preserve"> a las CC. AA. en 2002</w:t>
      </w:r>
      <w:r>
        <w:rPr>
          <w:color w:val="545454"/>
          <w:sz w:val="17"/>
          <w:szCs w:val="17"/>
        </w:rPr>
        <w:t xml:space="preserve">. La crisis iniciada en 2008 supuso un importante desequilibrio de las cuentas públicas del que se derivó un retroceso del gasto </w:t>
      </w:r>
      <w:r w:rsidR="00597C65">
        <w:rPr>
          <w:color w:val="545454"/>
          <w:sz w:val="17"/>
          <w:szCs w:val="17"/>
        </w:rPr>
        <w:t xml:space="preserve">en salud </w:t>
      </w:r>
      <w:r>
        <w:rPr>
          <w:color w:val="545454"/>
          <w:sz w:val="17"/>
          <w:szCs w:val="17"/>
        </w:rPr>
        <w:t>a partir de 2010</w:t>
      </w:r>
      <w:r w:rsidR="005830F9">
        <w:rPr>
          <w:color w:val="545454"/>
          <w:sz w:val="17"/>
          <w:szCs w:val="17"/>
        </w:rPr>
        <w:t>, al adoptar</w:t>
      </w:r>
      <w:r w:rsidR="00597C65">
        <w:rPr>
          <w:color w:val="545454"/>
          <w:sz w:val="17"/>
          <w:szCs w:val="17"/>
        </w:rPr>
        <w:t xml:space="preserve"> las comunidades</w:t>
      </w:r>
      <w:r w:rsidR="005830F9">
        <w:rPr>
          <w:color w:val="545454"/>
          <w:sz w:val="17"/>
          <w:szCs w:val="17"/>
        </w:rPr>
        <w:t xml:space="preserve"> </w:t>
      </w:r>
      <w:r>
        <w:rPr>
          <w:color w:val="545454"/>
          <w:sz w:val="17"/>
          <w:szCs w:val="17"/>
        </w:rPr>
        <w:t>medidas de ajuste. Desde 201</w:t>
      </w:r>
      <w:r w:rsidR="005830F9">
        <w:rPr>
          <w:color w:val="545454"/>
          <w:sz w:val="17"/>
          <w:szCs w:val="17"/>
        </w:rPr>
        <w:t>4</w:t>
      </w:r>
      <w:r>
        <w:rPr>
          <w:color w:val="545454"/>
          <w:sz w:val="17"/>
          <w:szCs w:val="17"/>
        </w:rPr>
        <w:t xml:space="preserve"> el gasto público</w:t>
      </w:r>
      <w:r w:rsidR="00683206">
        <w:rPr>
          <w:color w:val="545454"/>
          <w:sz w:val="17"/>
          <w:szCs w:val="17"/>
        </w:rPr>
        <w:t xml:space="preserve"> sanitario</w:t>
      </w:r>
      <w:r>
        <w:rPr>
          <w:color w:val="545454"/>
          <w:sz w:val="17"/>
          <w:szCs w:val="17"/>
        </w:rPr>
        <w:t xml:space="preserve"> </w:t>
      </w:r>
      <w:r w:rsidR="00056298">
        <w:rPr>
          <w:color w:val="545454"/>
          <w:sz w:val="17"/>
          <w:szCs w:val="17"/>
        </w:rPr>
        <w:t>volvió</w:t>
      </w:r>
      <w:r w:rsidR="005830F9">
        <w:rPr>
          <w:color w:val="545454"/>
          <w:sz w:val="17"/>
          <w:szCs w:val="17"/>
        </w:rPr>
        <w:t xml:space="preserve"> a crecer, </w:t>
      </w:r>
      <w:r w:rsidR="00056298">
        <w:rPr>
          <w:color w:val="545454"/>
          <w:sz w:val="17"/>
          <w:szCs w:val="17"/>
        </w:rPr>
        <w:t>superando el</w:t>
      </w:r>
      <w:r w:rsidR="005830F9">
        <w:rPr>
          <w:color w:val="545454"/>
          <w:sz w:val="17"/>
          <w:szCs w:val="17"/>
        </w:rPr>
        <w:t xml:space="preserve"> nivel de 2</w:t>
      </w:r>
      <w:r w:rsidR="00597C65">
        <w:rPr>
          <w:color w:val="545454"/>
          <w:sz w:val="17"/>
          <w:szCs w:val="17"/>
        </w:rPr>
        <w:t>0</w:t>
      </w:r>
      <w:r w:rsidR="005830F9">
        <w:rPr>
          <w:color w:val="545454"/>
          <w:sz w:val="17"/>
          <w:szCs w:val="17"/>
        </w:rPr>
        <w:t>09</w:t>
      </w:r>
      <w:r w:rsidR="00895891" w:rsidRPr="00895891">
        <w:rPr>
          <w:color w:val="545454"/>
          <w:sz w:val="17"/>
          <w:szCs w:val="17"/>
        </w:rPr>
        <w:t xml:space="preserve"> </w:t>
      </w:r>
      <w:r w:rsidR="00895891">
        <w:rPr>
          <w:color w:val="545454"/>
          <w:sz w:val="17"/>
          <w:szCs w:val="17"/>
        </w:rPr>
        <w:t>en términos reales</w:t>
      </w:r>
      <w:r w:rsidR="005830F9">
        <w:rPr>
          <w:color w:val="545454"/>
          <w:sz w:val="17"/>
          <w:szCs w:val="17"/>
        </w:rPr>
        <w:t xml:space="preserve"> </w:t>
      </w:r>
      <w:r>
        <w:rPr>
          <w:color w:val="545454"/>
          <w:sz w:val="17"/>
          <w:szCs w:val="17"/>
        </w:rPr>
        <w:t>en 2020</w:t>
      </w:r>
      <w:r w:rsidR="005830F9">
        <w:rPr>
          <w:color w:val="545454"/>
          <w:sz w:val="17"/>
          <w:szCs w:val="17"/>
        </w:rPr>
        <w:t>,</w:t>
      </w:r>
      <w:r>
        <w:rPr>
          <w:color w:val="545454"/>
          <w:sz w:val="17"/>
          <w:szCs w:val="17"/>
        </w:rPr>
        <w:t xml:space="preserve"> con la crisis de la covid-1</w:t>
      </w:r>
      <w:r w:rsidR="00613E8B">
        <w:rPr>
          <w:color w:val="545454"/>
          <w:sz w:val="17"/>
          <w:szCs w:val="17"/>
        </w:rPr>
        <w:t>9</w:t>
      </w:r>
      <w:r w:rsidR="005830F9">
        <w:rPr>
          <w:color w:val="545454"/>
          <w:sz w:val="17"/>
          <w:szCs w:val="17"/>
        </w:rPr>
        <w:t>. Desde entonces mantiene la tendencia expansiva</w:t>
      </w:r>
      <w:r w:rsidR="00CD35EE">
        <w:rPr>
          <w:color w:val="545454"/>
          <w:sz w:val="17"/>
          <w:szCs w:val="17"/>
        </w:rPr>
        <w:t xml:space="preserve"> y</w:t>
      </w:r>
      <w:r w:rsidR="000C189A">
        <w:rPr>
          <w:color w:val="545454"/>
          <w:sz w:val="17"/>
          <w:szCs w:val="17"/>
        </w:rPr>
        <w:t>,</w:t>
      </w:r>
      <w:r w:rsidR="00CD35EE">
        <w:rPr>
          <w:color w:val="545454"/>
          <w:sz w:val="17"/>
          <w:szCs w:val="17"/>
        </w:rPr>
        <w:t xml:space="preserve"> en 2022</w:t>
      </w:r>
      <w:r w:rsidR="0078182D">
        <w:rPr>
          <w:color w:val="545454"/>
          <w:sz w:val="17"/>
          <w:szCs w:val="17"/>
        </w:rPr>
        <w:t xml:space="preserve"> (último año disponible)</w:t>
      </w:r>
      <w:r w:rsidR="00CD35EE">
        <w:rPr>
          <w:color w:val="545454"/>
          <w:sz w:val="17"/>
          <w:szCs w:val="17"/>
        </w:rPr>
        <w:t xml:space="preserve">, el gasto público en sanidad se elevaba hasta los </w:t>
      </w:r>
      <w:r w:rsidR="00D01E84">
        <w:rPr>
          <w:color w:val="545454"/>
          <w:sz w:val="17"/>
          <w:szCs w:val="17"/>
        </w:rPr>
        <w:t>96.279 millones de euros (constantes de 2015), según los datos del Ministerio de Sanidad.</w:t>
      </w:r>
    </w:p>
    <w:p w14:paraId="2DA77F61" w14:textId="77777777" w:rsidR="008C3539" w:rsidRPr="00A52510" w:rsidRDefault="00636249" w:rsidP="008C3539">
      <w:pPr>
        <w:pBdr>
          <w:top w:val="single" w:sz="4" w:space="1" w:color="auto"/>
        </w:pBdr>
        <w:spacing w:after="0"/>
        <w:ind w:right="0"/>
        <w:rPr>
          <w:rStyle w:val="Hipervnculo"/>
          <w:rFonts w:eastAsia="Tahoma" w:cs="Tahoma"/>
          <w:b/>
          <w:bCs/>
          <w:kern w:val="24"/>
          <w:szCs w:val="18"/>
        </w:rPr>
      </w:pPr>
      <w:r>
        <w:rPr>
          <w:rFonts w:eastAsia="Tahoma" w:cs="Tahoma"/>
          <w:b/>
          <w:bCs/>
          <w:color w:val="121212" w:themeColor="background2"/>
          <w:kern w:val="24"/>
          <w:szCs w:val="18"/>
        </w:rPr>
        <w:t>Gasto sanitario</w:t>
      </w:r>
      <w:r w:rsidR="00E20967">
        <w:rPr>
          <w:rFonts w:eastAsia="Tahoma" w:cs="Tahoma"/>
          <w:b/>
          <w:bCs/>
          <w:color w:val="121212" w:themeColor="background2"/>
          <w:kern w:val="24"/>
          <w:szCs w:val="18"/>
        </w:rPr>
        <w:t xml:space="preserve"> público y privado</w:t>
      </w:r>
      <w:r>
        <w:rPr>
          <w:rFonts w:eastAsia="Tahoma" w:cs="Tahoma"/>
          <w:b/>
          <w:bCs/>
          <w:color w:val="121212" w:themeColor="background2"/>
          <w:kern w:val="24"/>
          <w:szCs w:val="18"/>
        </w:rPr>
        <w:t xml:space="preserve"> a precios constantes</w:t>
      </w:r>
      <w:r w:rsidR="0078182D">
        <w:rPr>
          <w:rFonts w:eastAsia="Tahoma" w:cs="Tahoma"/>
          <w:b/>
          <w:bCs/>
          <w:color w:val="121212" w:themeColor="background2"/>
          <w:kern w:val="24"/>
          <w:szCs w:val="18"/>
        </w:rPr>
        <w:t xml:space="preserve"> de 2015</w:t>
      </w:r>
      <w:r w:rsidR="008C3539" w:rsidRPr="008C3539">
        <w:rPr>
          <w:rFonts w:eastAsia="Tahoma" w:cs="Tahoma"/>
          <w:b/>
          <w:bCs/>
          <w:color w:val="121212" w:themeColor="background2"/>
          <w:kern w:val="24"/>
          <w:szCs w:val="18"/>
        </w:rPr>
        <w:t>. España</w:t>
      </w:r>
      <w:r w:rsidR="0023451B">
        <w:rPr>
          <w:rFonts w:eastAsia="Tahoma" w:cs="Tahoma"/>
          <w:b/>
          <w:bCs/>
          <w:color w:val="121212" w:themeColor="background2"/>
          <w:kern w:val="24"/>
          <w:szCs w:val="18"/>
        </w:rPr>
        <w:t>,</w:t>
      </w:r>
      <w:r w:rsidR="008C3539" w:rsidRPr="008C3539">
        <w:rPr>
          <w:rFonts w:eastAsia="Tahoma" w:cs="Tahoma"/>
          <w:b/>
          <w:bCs/>
          <w:color w:val="121212" w:themeColor="background2"/>
          <w:kern w:val="24"/>
          <w:szCs w:val="18"/>
        </w:rPr>
        <w:t xml:space="preserve"> </w:t>
      </w:r>
      <w:r>
        <w:rPr>
          <w:rFonts w:eastAsia="Tahoma" w:cs="Tahoma"/>
          <w:b/>
          <w:bCs/>
          <w:color w:val="121212" w:themeColor="background2"/>
          <w:kern w:val="24"/>
          <w:szCs w:val="18"/>
        </w:rPr>
        <w:t>2003-2022</w:t>
      </w:r>
      <w:r w:rsidR="00CE2EEF">
        <w:rPr>
          <w:rFonts w:eastAsia="Tahoma" w:cs="Tahoma"/>
          <w:b/>
          <w:bCs/>
          <w:color w:val="121212" w:themeColor="background2"/>
          <w:kern w:val="24"/>
          <w:szCs w:val="18"/>
        </w:rPr>
        <w:t xml:space="preserve"> </w:t>
      </w:r>
      <w:r>
        <w:rPr>
          <w:rFonts w:eastAsia="Tahoma" w:cs="Tahoma"/>
          <w:b/>
          <w:bCs/>
          <w:color w:val="121212" w:themeColor="background2"/>
          <w:kern w:val="24"/>
          <w:szCs w:val="18"/>
        </w:rPr>
        <w:t xml:space="preserve">(2003=100) </w:t>
      </w:r>
      <w:r w:rsidR="00A52510">
        <w:rPr>
          <w:b/>
          <w:sz w:val="14"/>
          <w:szCs w:val="14"/>
        </w:rPr>
        <w:fldChar w:fldCharType="begin"/>
      </w:r>
      <w:r w:rsidR="005A326C">
        <w:rPr>
          <w:b/>
          <w:sz w:val="14"/>
          <w:szCs w:val="14"/>
        </w:rPr>
        <w:instrText>HYPERLINK "https://www.fbbva.es/wp-content/uploads/2025/05/G1_Esenciales2_2025.xlsx"</w:instrText>
      </w:r>
      <w:r w:rsidR="00A52510">
        <w:rPr>
          <w:b/>
          <w:sz w:val="14"/>
          <w:szCs w:val="14"/>
        </w:rPr>
      </w:r>
      <w:r w:rsidR="00A52510">
        <w:rPr>
          <w:b/>
          <w:sz w:val="14"/>
          <w:szCs w:val="14"/>
        </w:rPr>
        <w:fldChar w:fldCharType="separate"/>
      </w:r>
      <w:proofErr w:type="gramStart"/>
      <w:r w:rsidR="005B4F96" w:rsidRPr="00A52510">
        <w:rPr>
          <w:rStyle w:val="Hipervnculo"/>
          <w:b/>
          <w:sz w:val="14"/>
          <w:szCs w:val="14"/>
        </w:rPr>
        <w:t>Descargar  &gt;</w:t>
      </w:r>
      <w:proofErr w:type="gramEnd"/>
    </w:p>
    <w:p w14:paraId="0DCE6E2B" w14:textId="77777777" w:rsidR="008C3539" w:rsidRDefault="00A52510" w:rsidP="008C3539">
      <w:pPr>
        <w:widowControl/>
        <w:spacing w:before="120"/>
        <w:ind w:right="0"/>
        <w:rPr>
          <w:color w:val="545454"/>
          <w:sz w:val="17"/>
          <w:szCs w:val="17"/>
        </w:rPr>
      </w:pPr>
      <w:r>
        <w:rPr>
          <w:b/>
          <w:sz w:val="14"/>
          <w:szCs w:val="14"/>
        </w:rPr>
        <w:fldChar w:fldCharType="end"/>
      </w:r>
      <w:r w:rsidR="00FD35CA">
        <w:rPr>
          <w:noProof/>
        </w:rPr>
        <w:drawing>
          <wp:inline distT="0" distB="0" distL="0" distR="0" wp14:anchorId="55D76781" wp14:editId="43AA9A27">
            <wp:extent cx="3314700" cy="1333500"/>
            <wp:effectExtent l="0" t="0" r="0" b="0"/>
            <wp:docPr id="675202299" name="Gráfico 1">
              <a:extLst xmlns:a="http://schemas.openxmlformats.org/drawingml/2006/main">
                <a:ext uri="{FF2B5EF4-FFF2-40B4-BE49-F238E27FC236}">
                  <a16:creationId xmlns:a16="http://schemas.microsoft.com/office/drawing/2014/main" id="{D81713EC-FA19-4EC2-A837-071147DD25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3652C38" w14:textId="77777777" w:rsidR="0077407B" w:rsidRDefault="008C3539" w:rsidP="0077407B">
      <w:pPr>
        <w:pBdr>
          <w:bottom w:val="single" w:sz="4" w:space="1" w:color="auto"/>
        </w:pBdr>
        <w:spacing w:after="0"/>
        <w:rPr>
          <w:rFonts w:asciiTheme="majorHAnsi" w:eastAsia="Times New Roman" w:hAnsiTheme="majorHAnsi" w:cs="Calibri"/>
          <w:sz w:val="14"/>
          <w:szCs w:val="14"/>
        </w:rPr>
      </w:pPr>
      <w:r w:rsidRPr="008C3539">
        <w:rPr>
          <w:rFonts w:asciiTheme="majorHAnsi" w:eastAsia="Times New Roman" w:hAnsiTheme="majorHAnsi" w:cs="Calibri"/>
          <w:sz w:val="14"/>
          <w:szCs w:val="14"/>
        </w:rPr>
        <w:t xml:space="preserve">Fuente: </w:t>
      </w:r>
      <w:r w:rsidR="00636249">
        <w:rPr>
          <w:rFonts w:asciiTheme="majorHAnsi" w:eastAsia="Times New Roman" w:hAnsiTheme="majorHAnsi" w:cs="Calibri"/>
          <w:sz w:val="14"/>
          <w:szCs w:val="14"/>
        </w:rPr>
        <w:t>Sistema de Cuentas de Salud (Ministerio de Sanidad)</w:t>
      </w:r>
    </w:p>
    <w:p w14:paraId="1B5E3235" w14:textId="583A44B3" w:rsidR="00597C65" w:rsidRPr="008C3539" w:rsidRDefault="00597C65" w:rsidP="00597C65">
      <w:pPr>
        <w:widowControl/>
        <w:spacing w:before="120"/>
        <w:ind w:right="0"/>
        <w:rPr>
          <w:color w:val="545454"/>
          <w:sz w:val="17"/>
          <w:szCs w:val="17"/>
        </w:rPr>
      </w:pPr>
      <w:r>
        <w:rPr>
          <w:color w:val="545454"/>
          <w:sz w:val="17"/>
          <w:szCs w:val="17"/>
        </w:rPr>
        <w:t>A diferencia de la oscilación experimentada por el gasto público durante la Gran Recesión, el gasto privado en salud</w:t>
      </w:r>
      <w:r w:rsidR="00E2655D">
        <w:rPr>
          <w:color w:val="545454"/>
          <w:sz w:val="17"/>
          <w:szCs w:val="17"/>
        </w:rPr>
        <w:t xml:space="preserve">, que se compone mayoritariamente del gasto de las familias, </w:t>
      </w:r>
      <w:r>
        <w:rPr>
          <w:color w:val="545454"/>
          <w:sz w:val="17"/>
          <w:szCs w:val="17"/>
        </w:rPr>
        <w:t>experimenta una tendencia creciente en la mayor parte de este siglo XXI</w:t>
      </w:r>
      <w:r w:rsidR="00D3407B">
        <w:rPr>
          <w:color w:val="545454"/>
          <w:sz w:val="17"/>
          <w:szCs w:val="17"/>
        </w:rPr>
        <w:t>, con un aumento</w:t>
      </w:r>
      <w:r w:rsidR="00C92414">
        <w:rPr>
          <w:color w:val="545454"/>
          <w:sz w:val="17"/>
          <w:szCs w:val="17"/>
        </w:rPr>
        <w:t xml:space="preserve"> en términos reales</w:t>
      </w:r>
      <w:r w:rsidR="00D3407B">
        <w:rPr>
          <w:color w:val="545454"/>
          <w:sz w:val="17"/>
          <w:szCs w:val="17"/>
        </w:rPr>
        <w:t xml:space="preserve"> del 50% entre 2003 y 2022. En la actualidad</w:t>
      </w:r>
      <w:r>
        <w:rPr>
          <w:color w:val="545454"/>
          <w:sz w:val="17"/>
          <w:szCs w:val="17"/>
        </w:rPr>
        <w:t xml:space="preserve"> representa </w:t>
      </w:r>
      <w:r w:rsidR="00D72D5F">
        <w:rPr>
          <w:color w:val="545454"/>
          <w:sz w:val="17"/>
          <w:szCs w:val="17"/>
        </w:rPr>
        <w:t>el 25,9</w:t>
      </w:r>
      <w:r>
        <w:rPr>
          <w:color w:val="545454"/>
          <w:sz w:val="17"/>
          <w:szCs w:val="17"/>
        </w:rPr>
        <w:t>% de</w:t>
      </w:r>
      <w:r w:rsidR="00056298">
        <w:rPr>
          <w:color w:val="545454"/>
          <w:sz w:val="17"/>
          <w:szCs w:val="17"/>
        </w:rPr>
        <w:t>l</w:t>
      </w:r>
      <w:r>
        <w:rPr>
          <w:color w:val="545454"/>
          <w:sz w:val="17"/>
          <w:szCs w:val="17"/>
        </w:rPr>
        <w:t xml:space="preserve"> gasto total</w:t>
      </w:r>
      <w:r w:rsidR="00D3407B">
        <w:rPr>
          <w:color w:val="545454"/>
          <w:sz w:val="17"/>
          <w:szCs w:val="17"/>
        </w:rPr>
        <w:t xml:space="preserve"> en salud</w:t>
      </w:r>
      <w:r w:rsidR="00056298">
        <w:rPr>
          <w:color w:val="545454"/>
          <w:sz w:val="17"/>
          <w:szCs w:val="17"/>
        </w:rPr>
        <w:t>.</w:t>
      </w:r>
      <w:r w:rsidR="000C189A">
        <w:rPr>
          <w:color w:val="545454"/>
          <w:sz w:val="17"/>
          <w:szCs w:val="17"/>
        </w:rPr>
        <w:t xml:space="preserve"> </w:t>
      </w:r>
      <w:r w:rsidR="00D409B7">
        <w:rPr>
          <w:color w:val="545454"/>
          <w:sz w:val="17"/>
          <w:szCs w:val="17"/>
        </w:rPr>
        <w:t>Por tipo de agente financiador, e</w:t>
      </w:r>
      <w:r w:rsidR="000C189A">
        <w:rPr>
          <w:color w:val="545454"/>
          <w:sz w:val="17"/>
          <w:szCs w:val="17"/>
        </w:rPr>
        <w:t xml:space="preserve">l mayor incremento se ha registrado </w:t>
      </w:r>
      <w:r w:rsidR="001C557B" w:rsidRPr="001C557B">
        <w:rPr>
          <w:color w:val="545454"/>
          <w:sz w:val="17"/>
          <w:szCs w:val="17"/>
        </w:rPr>
        <w:t xml:space="preserve">en el gasto </w:t>
      </w:r>
      <w:r w:rsidR="00D409B7">
        <w:rPr>
          <w:color w:val="545454"/>
          <w:sz w:val="17"/>
          <w:szCs w:val="17"/>
        </w:rPr>
        <w:t>de</w:t>
      </w:r>
      <w:r w:rsidR="001C557B" w:rsidRPr="001C557B">
        <w:rPr>
          <w:color w:val="545454"/>
          <w:sz w:val="17"/>
          <w:szCs w:val="17"/>
        </w:rPr>
        <w:t xml:space="preserve"> las empresas de seguros privados en salud para cubrir los servicios sanitarios de sus asegurados</w:t>
      </w:r>
      <w:r w:rsidR="000C189A">
        <w:rPr>
          <w:color w:val="545454"/>
          <w:sz w:val="17"/>
          <w:szCs w:val="17"/>
        </w:rPr>
        <w:t>, que se ha elevado un 88% en el periodo contemplado</w:t>
      </w:r>
      <w:r w:rsidR="001C557B">
        <w:rPr>
          <w:color w:val="545454"/>
          <w:sz w:val="17"/>
          <w:szCs w:val="17"/>
        </w:rPr>
        <w:t xml:space="preserve">, mientras que los pagos directos de las </w:t>
      </w:r>
      <w:r w:rsidR="001C557B">
        <w:rPr>
          <w:color w:val="545454"/>
          <w:sz w:val="17"/>
          <w:szCs w:val="17"/>
        </w:rPr>
        <w:t>familias</w:t>
      </w:r>
      <w:r w:rsidR="00D409B7">
        <w:rPr>
          <w:color w:val="545454"/>
          <w:sz w:val="17"/>
          <w:szCs w:val="17"/>
        </w:rPr>
        <w:t>, que suponen el 72% del gasto privado en salud,</w:t>
      </w:r>
      <w:r w:rsidR="001C557B">
        <w:rPr>
          <w:color w:val="545454"/>
          <w:sz w:val="17"/>
          <w:szCs w:val="17"/>
        </w:rPr>
        <w:t xml:space="preserve"> han crecido un 42%</w:t>
      </w:r>
      <w:r w:rsidR="000C189A">
        <w:rPr>
          <w:color w:val="545454"/>
          <w:sz w:val="17"/>
          <w:szCs w:val="17"/>
        </w:rPr>
        <w:t>.</w:t>
      </w:r>
      <w:r>
        <w:rPr>
          <w:color w:val="545454"/>
          <w:sz w:val="17"/>
          <w:szCs w:val="17"/>
        </w:rPr>
        <w:t xml:space="preserve"> </w:t>
      </w:r>
      <w:r w:rsidR="000C189A">
        <w:rPr>
          <w:color w:val="545454"/>
          <w:sz w:val="17"/>
          <w:szCs w:val="17"/>
        </w:rPr>
        <w:t xml:space="preserve">La </w:t>
      </w:r>
      <w:r>
        <w:rPr>
          <w:color w:val="545454"/>
          <w:sz w:val="17"/>
          <w:szCs w:val="17"/>
        </w:rPr>
        <w:t xml:space="preserve">tendencia creciente </w:t>
      </w:r>
      <w:r w:rsidR="00056298">
        <w:rPr>
          <w:color w:val="545454"/>
          <w:sz w:val="17"/>
          <w:szCs w:val="17"/>
        </w:rPr>
        <w:t xml:space="preserve">en el gasto privado </w:t>
      </w:r>
      <w:r>
        <w:rPr>
          <w:color w:val="545454"/>
          <w:sz w:val="17"/>
          <w:szCs w:val="17"/>
        </w:rPr>
        <w:t>solo se vio truncada en 2020, por el menor gasto en servicios sanitarios privados como consecuencia de las restricciones de movilidad durante la pandemia. Desde ese año el gasto privado sigue aumentando</w:t>
      </w:r>
      <w:r w:rsidR="00D01E84">
        <w:rPr>
          <w:color w:val="545454"/>
          <w:sz w:val="17"/>
          <w:szCs w:val="17"/>
        </w:rPr>
        <w:t xml:space="preserve"> y en 2022 se cifraba en </w:t>
      </w:r>
      <w:r w:rsidR="00D01E84" w:rsidRPr="00D01E84">
        <w:rPr>
          <w:color w:val="545454"/>
          <w:sz w:val="17"/>
          <w:szCs w:val="17"/>
        </w:rPr>
        <w:t>33.606 millones de euros (constantes de 2015).</w:t>
      </w:r>
    </w:p>
    <w:p w14:paraId="07B8CC8F" w14:textId="77777777" w:rsidR="005C33A1" w:rsidRDefault="00A02A49" w:rsidP="0077407B">
      <w:pPr>
        <w:pBdr>
          <w:bottom w:val="single" w:sz="4" w:space="1" w:color="auto"/>
        </w:pBdr>
        <w:spacing w:after="0"/>
        <w:rPr>
          <w:color w:val="545454"/>
          <w:sz w:val="17"/>
          <w:szCs w:val="17"/>
        </w:rPr>
      </w:pPr>
      <w:r>
        <w:rPr>
          <w:color w:val="545454"/>
          <w:sz w:val="17"/>
          <w:szCs w:val="17"/>
        </w:rPr>
        <w:t>L</w:t>
      </w:r>
      <w:r w:rsidR="00E116E2">
        <w:rPr>
          <w:color w:val="545454"/>
          <w:sz w:val="17"/>
          <w:szCs w:val="17"/>
        </w:rPr>
        <w:t>a evolución del gasto privado</w:t>
      </w:r>
      <w:r w:rsidR="00597C65">
        <w:rPr>
          <w:color w:val="545454"/>
          <w:sz w:val="17"/>
          <w:szCs w:val="17"/>
        </w:rPr>
        <w:t xml:space="preserve"> indica </w:t>
      </w:r>
      <w:r w:rsidR="00E116E2">
        <w:rPr>
          <w:color w:val="545454"/>
          <w:sz w:val="17"/>
          <w:szCs w:val="17"/>
        </w:rPr>
        <w:t>que l</w:t>
      </w:r>
      <w:r w:rsidR="00C20173">
        <w:rPr>
          <w:color w:val="545454"/>
          <w:sz w:val="17"/>
          <w:szCs w:val="17"/>
        </w:rPr>
        <w:t xml:space="preserve">os hogares asumen un papel relevante en la financiación </w:t>
      </w:r>
      <w:r w:rsidR="00FC58BA">
        <w:rPr>
          <w:color w:val="545454"/>
          <w:sz w:val="17"/>
          <w:szCs w:val="17"/>
        </w:rPr>
        <w:t>de</w:t>
      </w:r>
      <w:r w:rsidR="005C33A1">
        <w:rPr>
          <w:color w:val="545454"/>
          <w:sz w:val="17"/>
          <w:szCs w:val="17"/>
        </w:rPr>
        <w:t xml:space="preserve"> los servicios de salud</w:t>
      </w:r>
      <w:r w:rsidR="00597C65">
        <w:rPr>
          <w:color w:val="545454"/>
          <w:sz w:val="17"/>
          <w:szCs w:val="17"/>
        </w:rPr>
        <w:t xml:space="preserve">. </w:t>
      </w:r>
      <w:r w:rsidR="00C4496D">
        <w:rPr>
          <w:color w:val="545454"/>
          <w:sz w:val="17"/>
          <w:szCs w:val="17"/>
        </w:rPr>
        <w:t>Por un lado</w:t>
      </w:r>
      <w:r w:rsidR="00D664F7">
        <w:rPr>
          <w:color w:val="545454"/>
          <w:sz w:val="17"/>
          <w:szCs w:val="17"/>
        </w:rPr>
        <w:t>,</w:t>
      </w:r>
      <w:r w:rsidR="00C4496D">
        <w:rPr>
          <w:color w:val="545454"/>
          <w:sz w:val="17"/>
          <w:szCs w:val="17"/>
        </w:rPr>
        <w:t xml:space="preserve"> s</w:t>
      </w:r>
      <w:r w:rsidR="00597C65">
        <w:rPr>
          <w:color w:val="545454"/>
          <w:sz w:val="17"/>
          <w:szCs w:val="17"/>
        </w:rPr>
        <w:t>e hace</w:t>
      </w:r>
      <w:r w:rsidR="000C189A">
        <w:rPr>
          <w:color w:val="545454"/>
          <w:sz w:val="17"/>
          <w:szCs w:val="17"/>
        </w:rPr>
        <w:t>n</w:t>
      </w:r>
      <w:r w:rsidR="00597C65">
        <w:rPr>
          <w:color w:val="545454"/>
          <w:sz w:val="17"/>
          <w:szCs w:val="17"/>
        </w:rPr>
        <w:t xml:space="preserve"> cargo de</w:t>
      </w:r>
      <w:r w:rsidR="00174AE5">
        <w:rPr>
          <w:color w:val="545454"/>
          <w:sz w:val="17"/>
          <w:szCs w:val="17"/>
        </w:rPr>
        <w:t xml:space="preserve"> </w:t>
      </w:r>
      <w:r w:rsidR="00FC58BA" w:rsidRPr="007C33CF">
        <w:rPr>
          <w:color w:val="545454"/>
          <w:sz w:val="17"/>
          <w:szCs w:val="17"/>
        </w:rPr>
        <w:t xml:space="preserve">prestaciones </w:t>
      </w:r>
      <w:r w:rsidR="0078182D">
        <w:rPr>
          <w:color w:val="545454"/>
          <w:sz w:val="17"/>
          <w:szCs w:val="17"/>
        </w:rPr>
        <w:t>apenas</w:t>
      </w:r>
      <w:r w:rsidR="00FC58BA" w:rsidRPr="007C33CF">
        <w:rPr>
          <w:color w:val="545454"/>
          <w:sz w:val="17"/>
          <w:szCs w:val="17"/>
        </w:rPr>
        <w:t xml:space="preserve"> cubiertas</w:t>
      </w:r>
      <w:r w:rsidR="00174AE5">
        <w:rPr>
          <w:color w:val="545454"/>
          <w:sz w:val="17"/>
          <w:szCs w:val="17"/>
        </w:rPr>
        <w:t xml:space="preserve"> </w:t>
      </w:r>
      <w:r w:rsidR="00FC58BA" w:rsidRPr="007C33CF">
        <w:rPr>
          <w:color w:val="545454"/>
          <w:sz w:val="17"/>
          <w:szCs w:val="17"/>
        </w:rPr>
        <w:t xml:space="preserve">por la cartera de servicios del </w:t>
      </w:r>
      <w:r w:rsidR="00FC58BA">
        <w:rPr>
          <w:color w:val="545454"/>
          <w:sz w:val="17"/>
          <w:szCs w:val="17"/>
        </w:rPr>
        <w:t>SNS</w:t>
      </w:r>
      <w:r w:rsidR="00FC58BA" w:rsidRPr="007C33CF">
        <w:rPr>
          <w:color w:val="545454"/>
          <w:sz w:val="17"/>
          <w:szCs w:val="17"/>
        </w:rPr>
        <w:t xml:space="preserve"> (servicios dentales, ópticas, audífonos, etc.)</w:t>
      </w:r>
      <w:r w:rsidR="00C4496D">
        <w:rPr>
          <w:color w:val="545454"/>
          <w:sz w:val="17"/>
          <w:szCs w:val="17"/>
        </w:rPr>
        <w:t xml:space="preserve"> y d</w:t>
      </w:r>
      <w:r w:rsidR="00FC58BA" w:rsidRPr="007C33CF">
        <w:rPr>
          <w:color w:val="545454"/>
          <w:sz w:val="17"/>
          <w:szCs w:val="17"/>
        </w:rPr>
        <w:t xml:space="preserve">el </w:t>
      </w:r>
      <w:r w:rsidR="00597C65">
        <w:rPr>
          <w:color w:val="545454"/>
          <w:sz w:val="17"/>
          <w:szCs w:val="17"/>
        </w:rPr>
        <w:t>copago de</w:t>
      </w:r>
      <w:r w:rsidR="00FC58BA" w:rsidRPr="007C33CF">
        <w:rPr>
          <w:color w:val="545454"/>
          <w:sz w:val="17"/>
          <w:szCs w:val="17"/>
        </w:rPr>
        <w:t xml:space="preserve"> productos farmacéuticos</w:t>
      </w:r>
      <w:r w:rsidR="00C4496D">
        <w:rPr>
          <w:color w:val="545454"/>
          <w:sz w:val="17"/>
          <w:szCs w:val="17"/>
        </w:rPr>
        <w:t>. Por otro lado</w:t>
      </w:r>
      <w:r w:rsidR="00FC58BA" w:rsidRPr="007C33CF">
        <w:rPr>
          <w:color w:val="545454"/>
          <w:sz w:val="17"/>
          <w:szCs w:val="17"/>
        </w:rPr>
        <w:t>,</w:t>
      </w:r>
      <w:r w:rsidR="00C4496D">
        <w:rPr>
          <w:color w:val="545454"/>
          <w:sz w:val="17"/>
          <w:szCs w:val="17"/>
        </w:rPr>
        <w:t xml:space="preserve"> las familias optan </w:t>
      </w:r>
      <w:r w:rsidR="0078182D">
        <w:rPr>
          <w:color w:val="545454"/>
          <w:sz w:val="17"/>
          <w:szCs w:val="17"/>
        </w:rPr>
        <w:t xml:space="preserve">con frecuencia </w:t>
      </w:r>
      <w:r w:rsidR="00C4496D">
        <w:rPr>
          <w:color w:val="545454"/>
          <w:sz w:val="17"/>
          <w:szCs w:val="17"/>
        </w:rPr>
        <w:t>por financiar</w:t>
      </w:r>
      <w:r w:rsidR="00FC58BA" w:rsidRPr="007C33CF">
        <w:rPr>
          <w:color w:val="545454"/>
          <w:sz w:val="17"/>
          <w:szCs w:val="17"/>
        </w:rPr>
        <w:t xml:space="preserve"> </w:t>
      </w:r>
      <w:r w:rsidR="00597C65">
        <w:rPr>
          <w:color w:val="545454"/>
          <w:sz w:val="17"/>
          <w:szCs w:val="17"/>
        </w:rPr>
        <w:t>ciertos</w:t>
      </w:r>
      <w:r w:rsidR="00FC58BA" w:rsidRPr="007C33CF">
        <w:rPr>
          <w:color w:val="545454"/>
          <w:sz w:val="17"/>
          <w:szCs w:val="17"/>
        </w:rPr>
        <w:t xml:space="preserve"> servicios médicos </w:t>
      </w:r>
      <w:r w:rsidR="000C0C49">
        <w:rPr>
          <w:color w:val="545454"/>
          <w:sz w:val="17"/>
          <w:szCs w:val="17"/>
        </w:rPr>
        <w:t xml:space="preserve">y </w:t>
      </w:r>
      <w:r w:rsidR="00FC58BA" w:rsidRPr="007C33CF">
        <w:rPr>
          <w:color w:val="545454"/>
          <w:sz w:val="17"/>
          <w:szCs w:val="17"/>
        </w:rPr>
        <w:t>hospitalarios</w:t>
      </w:r>
      <w:r w:rsidR="00C35BBA">
        <w:rPr>
          <w:color w:val="545454"/>
          <w:sz w:val="17"/>
          <w:szCs w:val="17"/>
        </w:rPr>
        <w:t xml:space="preserve"> o </w:t>
      </w:r>
      <w:r w:rsidR="000C0C49">
        <w:rPr>
          <w:color w:val="545454"/>
          <w:sz w:val="17"/>
          <w:szCs w:val="17"/>
        </w:rPr>
        <w:t xml:space="preserve">servicios </w:t>
      </w:r>
      <w:r w:rsidR="00FC58BA" w:rsidRPr="007C33CF">
        <w:rPr>
          <w:color w:val="545454"/>
          <w:sz w:val="17"/>
          <w:szCs w:val="17"/>
        </w:rPr>
        <w:t>auxiliares en centros privados</w:t>
      </w:r>
      <w:r w:rsidR="00C35BBA">
        <w:rPr>
          <w:color w:val="545454"/>
          <w:sz w:val="17"/>
          <w:szCs w:val="17"/>
        </w:rPr>
        <w:t>,</w:t>
      </w:r>
      <w:r w:rsidR="00FC58BA" w:rsidRPr="007C33CF">
        <w:rPr>
          <w:color w:val="545454"/>
          <w:sz w:val="17"/>
          <w:szCs w:val="17"/>
        </w:rPr>
        <w:t xml:space="preserve"> </w:t>
      </w:r>
      <w:r w:rsidR="00C4496D">
        <w:rPr>
          <w:color w:val="545454"/>
          <w:sz w:val="17"/>
          <w:szCs w:val="17"/>
        </w:rPr>
        <w:t>así como</w:t>
      </w:r>
      <w:r w:rsidR="00FC58BA" w:rsidRPr="007C33CF">
        <w:rPr>
          <w:color w:val="545454"/>
          <w:sz w:val="17"/>
          <w:szCs w:val="17"/>
        </w:rPr>
        <w:t xml:space="preserve"> el pago de seguros </w:t>
      </w:r>
      <w:r w:rsidR="00C4496D">
        <w:rPr>
          <w:color w:val="545454"/>
          <w:sz w:val="17"/>
          <w:szCs w:val="17"/>
        </w:rPr>
        <w:t>privados de salud, lo que</w:t>
      </w:r>
      <w:r w:rsidR="00FC58BA">
        <w:rPr>
          <w:color w:val="545454"/>
          <w:sz w:val="17"/>
          <w:szCs w:val="17"/>
        </w:rPr>
        <w:t xml:space="preserve"> </w:t>
      </w:r>
      <w:r w:rsidR="00C4496D" w:rsidRPr="00C4496D">
        <w:rPr>
          <w:color w:val="545454"/>
          <w:sz w:val="17"/>
          <w:szCs w:val="17"/>
        </w:rPr>
        <w:t>puede ser un reflejo de las mayores exigencias de los hogares en la calidad de los servicios sanitarios, por ejemplo, en tiempos de espera.</w:t>
      </w:r>
    </w:p>
    <w:p w14:paraId="578C515B" w14:textId="77777777" w:rsidR="005C33A1" w:rsidRDefault="005C33A1" w:rsidP="0077407B">
      <w:pPr>
        <w:pBdr>
          <w:bottom w:val="single" w:sz="4" w:space="1" w:color="auto"/>
        </w:pBdr>
        <w:spacing w:after="0"/>
        <w:rPr>
          <w:color w:val="545454"/>
          <w:sz w:val="17"/>
          <w:szCs w:val="17"/>
        </w:rPr>
      </w:pPr>
    </w:p>
    <w:p w14:paraId="3D19EDDF" w14:textId="77777777" w:rsidR="000071D5" w:rsidRDefault="00C20173" w:rsidP="0077407B">
      <w:pPr>
        <w:pBdr>
          <w:bottom w:val="single" w:sz="4" w:space="1" w:color="auto"/>
        </w:pBdr>
        <w:spacing w:after="0"/>
        <w:rPr>
          <w:color w:val="545454"/>
          <w:sz w:val="17"/>
          <w:szCs w:val="17"/>
        </w:rPr>
      </w:pPr>
      <w:r>
        <w:rPr>
          <w:color w:val="545454"/>
          <w:sz w:val="17"/>
          <w:szCs w:val="17"/>
        </w:rPr>
        <w:t xml:space="preserve">De acuerdo con la Encuesta de Presupuestos Familiares </w:t>
      </w:r>
      <w:r w:rsidR="00D64363">
        <w:rPr>
          <w:color w:val="545454"/>
          <w:sz w:val="17"/>
          <w:szCs w:val="17"/>
        </w:rPr>
        <w:t xml:space="preserve">(EPF) </w:t>
      </w:r>
      <w:r>
        <w:rPr>
          <w:color w:val="545454"/>
          <w:sz w:val="17"/>
          <w:szCs w:val="17"/>
        </w:rPr>
        <w:t>del INE,</w:t>
      </w:r>
      <w:r w:rsidR="000D415A">
        <w:rPr>
          <w:color w:val="545454"/>
          <w:sz w:val="17"/>
          <w:szCs w:val="17"/>
        </w:rPr>
        <w:t xml:space="preserve"> en 2023 </w:t>
      </w:r>
      <w:r w:rsidR="00FA5C46">
        <w:rPr>
          <w:color w:val="545454"/>
          <w:sz w:val="17"/>
          <w:szCs w:val="17"/>
        </w:rPr>
        <w:t xml:space="preserve">las familias españolas </w:t>
      </w:r>
      <w:r w:rsidR="000D415A">
        <w:rPr>
          <w:color w:val="545454"/>
          <w:sz w:val="17"/>
          <w:szCs w:val="17"/>
        </w:rPr>
        <w:t xml:space="preserve">gastaron </w:t>
      </w:r>
      <w:r w:rsidR="000071D5">
        <w:rPr>
          <w:color w:val="545454"/>
          <w:sz w:val="17"/>
          <w:szCs w:val="17"/>
        </w:rPr>
        <w:t xml:space="preserve">en salud </w:t>
      </w:r>
      <w:r w:rsidR="000D415A">
        <w:rPr>
          <w:color w:val="545454"/>
          <w:sz w:val="17"/>
          <w:szCs w:val="17"/>
        </w:rPr>
        <w:t>una media de</w:t>
      </w:r>
      <w:r w:rsidR="000071D5">
        <w:rPr>
          <w:color w:val="545454"/>
          <w:sz w:val="17"/>
          <w:szCs w:val="17"/>
        </w:rPr>
        <w:t xml:space="preserve"> </w:t>
      </w:r>
      <w:r w:rsidR="002E01D4">
        <w:rPr>
          <w:color w:val="545454"/>
          <w:sz w:val="17"/>
          <w:szCs w:val="17"/>
        </w:rPr>
        <w:t xml:space="preserve">631 </w:t>
      </w:r>
      <w:r w:rsidR="000071D5">
        <w:rPr>
          <w:color w:val="545454"/>
          <w:sz w:val="17"/>
          <w:szCs w:val="17"/>
        </w:rPr>
        <w:t>euros</w:t>
      </w:r>
      <w:r w:rsidR="00FA5C46">
        <w:rPr>
          <w:color w:val="545454"/>
          <w:sz w:val="17"/>
          <w:szCs w:val="17"/>
        </w:rPr>
        <w:t xml:space="preserve"> por cada uno de sus miembros</w:t>
      </w:r>
      <w:r w:rsidR="00B9525E">
        <w:rPr>
          <w:color w:val="545454"/>
          <w:sz w:val="17"/>
          <w:szCs w:val="17"/>
        </w:rPr>
        <w:t>.</w:t>
      </w:r>
      <w:r w:rsidR="00E116E2">
        <w:rPr>
          <w:color w:val="545454"/>
          <w:sz w:val="17"/>
          <w:szCs w:val="17"/>
        </w:rPr>
        <w:t xml:space="preserve"> La mitad de este importe lo </w:t>
      </w:r>
      <w:r w:rsidR="000071D5">
        <w:rPr>
          <w:color w:val="545454"/>
          <w:sz w:val="17"/>
          <w:szCs w:val="17"/>
        </w:rPr>
        <w:t>dedicaron a la compra de gafas graduadas</w:t>
      </w:r>
      <w:r w:rsidR="0018036C">
        <w:rPr>
          <w:color w:val="545454"/>
          <w:sz w:val="17"/>
          <w:szCs w:val="17"/>
        </w:rPr>
        <w:t xml:space="preserve">, </w:t>
      </w:r>
      <w:r w:rsidR="000071D5">
        <w:rPr>
          <w:color w:val="545454"/>
          <w:sz w:val="17"/>
          <w:szCs w:val="17"/>
        </w:rPr>
        <w:t>lentes de contacto</w:t>
      </w:r>
      <w:r w:rsidR="0018036C">
        <w:rPr>
          <w:color w:val="545454"/>
          <w:sz w:val="17"/>
          <w:szCs w:val="17"/>
        </w:rPr>
        <w:t xml:space="preserve"> y </w:t>
      </w:r>
      <w:r w:rsidR="000071D5">
        <w:rPr>
          <w:color w:val="545454"/>
          <w:sz w:val="17"/>
          <w:szCs w:val="17"/>
        </w:rPr>
        <w:t xml:space="preserve">otros equipos y </w:t>
      </w:r>
      <w:r w:rsidR="0018036C">
        <w:rPr>
          <w:color w:val="545454"/>
          <w:sz w:val="17"/>
          <w:szCs w:val="17"/>
        </w:rPr>
        <w:t>aparatos</w:t>
      </w:r>
      <w:r w:rsidR="000071D5">
        <w:rPr>
          <w:color w:val="545454"/>
          <w:sz w:val="17"/>
          <w:szCs w:val="17"/>
        </w:rPr>
        <w:t xml:space="preserve"> terapéuticos (</w:t>
      </w:r>
      <w:r w:rsidR="002E01D4">
        <w:rPr>
          <w:color w:val="545454"/>
          <w:sz w:val="17"/>
          <w:szCs w:val="17"/>
        </w:rPr>
        <w:t>182</w:t>
      </w:r>
      <w:r w:rsidR="000071D5">
        <w:rPr>
          <w:color w:val="545454"/>
          <w:sz w:val="17"/>
          <w:szCs w:val="17"/>
        </w:rPr>
        <w:t xml:space="preserve"> euros) y al pago de seguros </w:t>
      </w:r>
      <w:r w:rsidR="00025802">
        <w:rPr>
          <w:color w:val="545454"/>
          <w:sz w:val="17"/>
          <w:szCs w:val="17"/>
        </w:rPr>
        <w:t>privados de</w:t>
      </w:r>
      <w:r w:rsidR="000071D5">
        <w:rPr>
          <w:color w:val="545454"/>
          <w:sz w:val="17"/>
          <w:szCs w:val="17"/>
        </w:rPr>
        <w:t xml:space="preserve"> salud (</w:t>
      </w:r>
      <w:r w:rsidR="002E01D4">
        <w:rPr>
          <w:color w:val="545454"/>
          <w:sz w:val="17"/>
          <w:szCs w:val="17"/>
        </w:rPr>
        <w:t>131</w:t>
      </w:r>
      <w:r w:rsidR="000071D5">
        <w:rPr>
          <w:color w:val="545454"/>
          <w:sz w:val="17"/>
          <w:szCs w:val="17"/>
        </w:rPr>
        <w:t xml:space="preserve"> euros). La otra mitad se de</w:t>
      </w:r>
      <w:r w:rsidR="00E116E2">
        <w:rPr>
          <w:color w:val="545454"/>
          <w:sz w:val="17"/>
          <w:szCs w:val="17"/>
        </w:rPr>
        <w:t xml:space="preserve">stinó </w:t>
      </w:r>
      <w:r w:rsidR="0018036C">
        <w:rPr>
          <w:color w:val="545454"/>
          <w:sz w:val="17"/>
          <w:szCs w:val="17"/>
        </w:rPr>
        <w:t xml:space="preserve">a la compra </w:t>
      </w:r>
      <w:r w:rsidR="000071D5">
        <w:rPr>
          <w:color w:val="545454"/>
          <w:sz w:val="17"/>
          <w:szCs w:val="17"/>
        </w:rPr>
        <w:t xml:space="preserve">de productos farmacéuticos, </w:t>
      </w:r>
      <w:r w:rsidR="0018036C">
        <w:rPr>
          <w:color w:val="545454"/>
          <w:sz w:val="17"/>
          <w:szCs w:val="17"/>
        </w:rPr>
        <w:t>principalmente</w:t>
      </w:r>
      <w:r w:rsidR="000071D5">
        <w:rPr>
          <w:color w:val="545454"/>
          <w:sz w:val="17"/>
          <w:szCs w:val="17"/>
        </w:rPr>
        <w:t xml:space="preserve">, y </w:t>
      </w:r>
      <w:r w:rsidR="00ED4992">
        <w:rPr>
          <w:color w:val="545454"/>
          <w:sz w:val="17"/>
          <w:szCs w:val="17"/>
        </w:rPr>
        <w:t xml:space="preserve">de </w:t>
      </w:r>
      <w:r w:rsidR="000071D5">
        <w:rPr>
          <w:color w:val="545454"/>
          <w:sz w:val="17"/>
          <w:szCs w:val="17"/>
        </w:rPr>
        <w:t>otros productos médicos (</w:t>
      </w:r>
      <w:r w:rsidR="002E01D4">
        <w:rPr>
          <w:color w:val="545454"/>
          <w:sz w:val="17"/>
          <w:szCs w:val="17"/>
        </w:rPr>
        <w:t>116</w:t>
      </w:r>
      <w:r w:rsidR="000071D5">
        <w:rPr>
          <w:color w:val="545454"/>
          <w:sz w:val="17"/>
          <w:szCs w:val="17"/>
        </w:rPr>
        <w:t xml:space="preserve"> euros), servicios dentales (</w:t>
      </w:r>
      <w:r w:rsidR="002E01D4">
        <w:rPr>
          <w:color w:val="545454"/>
          <w:sz w:val="17"/>
          <w:szCs w:val="17"/>
        </w:rPr>
        <w:t>88</w:t>
      </w:r>
      <w:r w:rsidR="000071D5">
        <w:rPr>
          <w:color w:val="545454"/>
          <w:sz w:val="17"/>
          <w:szCs w:val="17"/>
        </w:rPr>
        <w:t xml:space="preserve"> euros), servicios médicos</w:t>
      </w:r>
      <w:r w:rsidR="000C0C49">
        <w:rPr>
          <w:color w:val="545454"/>
          <w:sz w:val="17"/>
          <w:szCs w:val="17"/>
        </w:rPr>
        <w:t xml:space="preserve"> y</w:t>
      </w:r>
      <w:r w:rsidR="000071D5">
        <w:rPr>
          <w:color w:val="545454"/>
          <w:sz w:val="17"/>
          <w:szCs w:val="17"/>
        </w:rPr>
        <w:t xml:space="preserve"> hospitalarios (</w:t>
      </w:r>
      <w:r w:rsidR="002E01D4">
        <w:rPr>
          <w:color w:val="545454"/>
          <w:sz w:val="17"/>
          <w:szCs w:val="17"/>
        </w:rPr>
        <w:t>68</w:t>
      </w:r>
      <w:r w:rsidR="000071D5">
        <w:rPr>
          <w:color w:val="545454"/>
          <w:sz w:val="17"/>
          <w:szCs w:val="17"/>
        </w:rPr>
        <w:t xml:space="preserve"> euros) y</w:t>
      </w:r>
      <w:r w:rsidR="002E01D4">
        <w:rPr>
          <w:color w:val="545454"/>
          <w:sz w:val="17"/>
          <w:szCs w:val="17"/>
        </w:rPr>
        <w:t xml:space="preserve"> </w:t>
      </w:r>
      <w:r w:rsidR="000071D5">
        <w:rPr>
          <w:color w:val="545454"/>
          <w:sz w:val="17"/>
          <w:szCs w:val="17"/>
        </w:rPr>
        <w:t xml:space="preserve">servicios </w:t>
      </w:r>
      <w:r w:rsidR="00174AE5">
        <w:rPr>
          <w:color w:val="545454"/>
          <w:sz w:val="17"/>
          <w:szCs w:val="17"/>
        </w:rPr>
        <w:t xml:space="preserve">auxiliares </w:t>
      </w:r>
      <w:r w:rsidR="000071D5">
        <w:rPr>
          <w:color w:val="545454"/>
          <w:sz w:val="17"/>
          <w:szCs w:val="17"/>
        </w:rPr>
        <w:t>como</w:t>
      </w:r>
      <w:r w:rsidR="0018036C">
        <w:rPr>
          <w:color w:val="545454"/>
          <w:sz w:val="17"/>
          <w:szCs w:val="17"/>
        </w:rPr>
        <w:t xml:space="preserve"> la realización de</w:t>
      </w:r>
      <w:r w:rsidR="000071D5">
        <w:rPr>
          <w:color w:val="545454"/>
          <w:sz w:val="17"/>
          <w:szCs w:val="17"/>
        </w:rPr>
        <w:t xml:space="preserve"> pruebas diagnósticas</w:t>
      </w:r>
      <w:r w:rsidR="00E20967">
        <w:rPr>
          <w:color w:val="545454"/>
          <w:sz w:val="17"/>
          <w:szCs w:val="17"/>
        </w:rPr>
        <w:t>,</w:t>
      </w:r>
      <w:r w:rsidR="000071D5">
        <w:rPr>
          <w:color w:val="545454"/>
          <w:sz w:val="17"/>
          <w:szCs w:val="17"/>
        </w:rPr>
        <w:t xml:space="preserve"> </w:t>
      </w:r>
      <w:r w:rsidR="00174AE5">
        <w:rPr>
          <w:color w:val="545454"/>
          <w:sz w:val="17"/>
          <w:szCs w:val="17"/>
        </w:rPr>
        <w:t>servicios de</w:t>
      </w:r>
      <w:r w:rsidR="0018036C">
        <w:rPr>
          <w:color w:val="545454"/>
          <w:sz w:val="17"/>
          <w:szCs w:val="17"/>
        </w:rPr>
        <w:t xml:space="preserve"> </w:t>
      </w:r>
      <w:r w:rsidR="000071D5">
        <w:rPr>
          <w:color w:val="545454"/>
          <w:sz w:val="17"/>
          <w:szCs w:val="17"/>
        </w:rPr>
        <w:t>rehabilitación</w:t>
      </w:r>
      <w:r w:rsidR="00E20967">
        <w:rPr>
          <w:color w:val="545454"/>
          <w:sz w:val="17"/>
          <w:szCs w:val="17"/>
        </w:rPr>
        <w:t xml:space="preserve">, psicología o fisioterapia, entre otros </w:t>
      </w:r>
      <w:r w:rsidR="000071D5">
        <w:rPr>
          <w:color w:val="545454"/>
          <w:sz w:val="17"/>
          <w:szCs w:val="17"/>
        </w:rPr>
        <w:t>(</w:t>
      </w:r>
      <w:r w:rsidR="002E01D4">
        <w:rPr>
          <w:color w:val="545454"/>
          <w:sz w:val="17"/>
          <w:szCs w:val="17"/>
        </w:rPr>
        <w:t>46</w:t>
      </w:r>
      <w:r w:rsidR="000071D5">
        <w:rPr>
          <w:color w:val="545454"/>
          <w:sz w:val="17"/>
          <w:szCs w:val="17"/>
        </w:rPr>
        <w:t xml:space="preserve"> euros).</w:t>
      </w:r>
    </w:p>
    <w:p w14:paraId="26C74760" w14:textId="77777777" w:rsidR="000071D5" w:rsidRDefault="000071D5" w:rsidP="0077407B">
      <w:pPr>
        <w:pBdr>
          <w:bottom w:val="single" w:sz="4" w:space="1" w:color="auto"/>
        </w:pBdr>
        <w:spacing w:after="0"/>
        <w:rPr>
          <w:color w:val="545454"/>
          <w:sz w:val="17"/>
          <w:szCs w:val="17"/>
        </w:rPr>
      </w:pPr>
    </w:p>
    <w:p w14:paraId="4609ECAA" w14:textId="77777777" w:rsidR="000071D5" w:rsidRPr="00A52510" w:rsidRDefault="000071D5" w:rsidP="000071D5">
      <w:pPr>
        <w:pBdr>
          <w:top w:val="single" w:sz="4" w:space="1" w:color="auto"/>
        </w:pBdr>
        <w:spacing w:after="0"/>
        <w:ind w:right="0"/>
        <w:rPr>
          <w:rStyle w:val="Hipervnculo"/>
          <w:rFonts w:eastAsia="Tahoma" w:cs="Tahoma"/>
          <w:b/>
          <w:bCs/>
          <w:kern w:val="24"/>
          <w:szCs w:val="18"/>
        </w:rPr>
      </w:pPr>
      <w:r>
        <w:rPr>
          <w:rFonts w:eastAsia="Tahoma" w:cs="Tahoma"/>
          <w:b/>
          <w:bCs/>
          <w:color w:val="121212" w:themeColor="background2"/>
          <w:kern w:val="24"/>
          <w:szCs w:val="18"/>
        </w:rPr>
        <w:t xml:space="preserve">Gasto medio en salud </w:t>
      </w:r>
      <w:r w:rsidR="002E01D4">
        <w:rPr>
          <w:rFonts w:eastAsia="Tahoma" w:cs="Tahoma"/>
          <w:b/>
          <w:bCs/>
          <w:color w:val="121212" w:themeColor="background2"/>
          <w:kern w:val="24"/>
          <w:szCs w:val="18"/>
        </w:rPr>
        <w:t>por persona</w:t>
      </w:r>
      <w:r w:rsidR="0078182D">
        <w:rPr>
          <w:rFonts w:eastAsia="Tahoma" w:cs="Tahoma"/>
          <w:b/>
          <w:bCs/>
          <w:color w:val="121212" w:themeColor="background2"/>
          <w:kern w:val="24"/>
          <w:szCs w:val="18"/>
        </w:rPr>
        <w:t>,</w:t>
      </w:r>
      <w:r w:rsidR="00E20967">
        <w:rPr>
          <w:rFonts w:eastAsia="Tahoma" w:cs="Tahoma"/>
          <w:b/>
          <w:bCs/>
          <w:color w:val="121212" w:themeColor="background2"/>
          <w:kern w:val="24"/>
          <w:szCs w:val="18"/>
        </w:rPr>
        <w:t xml:space="preserve"> según función de gasto</w:t>
      </w:r>
      <w:r>
        <w:rPr>
          <w:rFonts w:eastAsia="Tahoma" w:cs="Tahoma"/>
          <w:b/>
          <w:bCs/>
          <w:color w:val="121212" w:themeColor="background2"/>
          <w:kern w:val="24"/>
          <w:szCs w:val="18"/>
        </w:rPr>
        <w:t xml:space="preserve">. España, 2023 (euros) </w:t>
      </w:r>
      <w:r w:rsidR="00A52510">
        <w:rPr>
          <w:b/>
          <w:sz w:val="14"/>
          <w:szCs w:val="14"/>
        </w:rPr>
        <w:fldChar w:fldCharType="begin"/>
      </w:r>
      <w:r w:rsidR="005A326C">
        <w:rPr>
          <w:b/>
          <w:sz w:val="14"/>
          <w:szCs w:val="14"/>
        </w:rPr>
        <w:instrText>HYPERLINK "https://www.fbbva.es/wp-content/uploads/2025/05/G2_Esenciales2_2025.xlsx"</w:instrText>
      </w:r>
      <w:r w:rsidR="00A52510">
        <w:rPr>
          <w:b/>
          <w:sz w:val="14"/>
          <w:szCs w:val="14"/>
        </w:rPr>
      </w:r>
      <w:r w:rsidR="00A52510">
        <w:rPr>
          <w:b/>
          <w:sz w:val="14"/>
          <w:szCs w:val="14"/>
        </w:rPr>
        <w:fldChar w:fldCharType="separate"/>
      </w:r>
      <w:proofErr w:type="gramStart"/>
      <w:r w:rsidRPr="00A52510">
        <w:rPr>
          <w:rStyle w:val="Hipervnculo"/>
          <w:b/>
          <w:sz w:val="14"/>
          <w:szCs w:val="14"/>
        </w:rPr>
        <w:t>Descargar  &gt;</w:t>
      </w:r>
      <w:proofErr w:type="gramEnd"/>
    </w:p>
    <w:p w14:paraId="05C917D8" w14:textId="77777777" w:rsidR="000071D5" w:rsidRDefault="00A52510" w:rsidP="0077407B">
      <w:pPr>
        <w:pBdr>
          <w:bottom w:val="single" w:sz="4" w:space="1" w:color="auto"/>
        </w:pBdr>
        <w:spacing w:after="0"/>
        <w:rPr>
          <w:color w:val="545454"/>
          <w:sz w:val="17"/>
          <w:szCs w:val="17"/>
        </w:rPr>
      </w:pPr>
      <w:r>
        <w:rPr>
          <w:b/>
          <w:sz w:val="14"/>
          <w:szCs w:val="14"/>
        </w:rPr>
        <w:fldChar w:fldCharType="end"/>
      </w:r>
      <w:r w:rsidR="00A3019E" w:rsidRPr="00A3019E">
        <w:rPr>
          <w:noProof/>
        </w:rPr>
        <w:drawing>
          <wp:inline distT="0" distB="0" distL="0" distR="0" wp14:anchorId="02E89F4A" wp14:editId="31339A8C">
            <wp:extent cx="3235960" cy="1504950"/>
            <wp:effectExtent l="0" t="0" r="2540" b="0"/>
            <wp:docPr id="317928720" name="Gráfico 1">
              <a:extLst xmlns:a="http://schemas.openxmlformats.org/drawingml/2006/main">
                <a:ext uri="{FF2B5EF4-FFF2-40B4-BE49-F238E27FC236}">
                  <a16:creationId xmlns:a16="http://schemas.microsoft.com/office/drawing/2014/main" id="{47251C68-738E-4C07-982E-606F890304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EA46408" w14:textId="77777777" w:rsidR="000071D5" w:rsidRPr="007C33CF" w:rsidRDefault="000071D5" w:rsidP="000071D5">
      <w:pPr>
        <w:pBdr>
          <w:bottom w:val="single" w:sz="4" w:space="1" w:color="auto"/>
        </w:pBdr>
        <w:spacing w:after="0"/>
        <w:rPr>
          <w:rFonts w:asciiTheme="majorHAnsi" w:eastAsia="Times New Roman" w:hAnsiTheme="majorHAnsi" w:cs="Calibri"/>
          <w:sz w:val="14"/>
          <w:szCs w:val="14"/>
        </w:rPr>
      </w:pPr>
      <w:r w:rsidRPr="008C3539">
        <w:rPr>
          <w:rFonts w:asciiTheme="majorHAnsi" w:eastAsia="Times New Roman" w:hAnsiTheme="majorHAnsi" w:cs="Calibri"/>
          <w:sz w:val="14"/>
          <w:szCs w:val="14"/>
        </w:rPr>
        <w:t xml:space="preserve">Fuente: </w:t>
      </w:r>
      <w:r>
        <w:rPr>
          <w:rFonts w:asciiTheme="majorHAnsi" w:eastAsia="Times New Roman" w:hAnsiTheme="majorHAnsi" w:cs="Calibri"/>
          <w:sz w:val="14"/>
          <w:szCs w:val="14"/>
        </w:rPr>
        <w:t>Encuesta de Presupuestos Familiares (INE)</w:t>
      </w:r>
    </w:p>
    <w:p w14:paraId="539E40FA" w14:textId="77777777" w:rsidR="003A143B" w:rsidRDefault="00426702" w:rsidP="00E1501D">
      <w:pPr>
        <w:widowControl/>
        <w:spacing w:before="120"/>
        <w:ind w:right="0"/>
        <w:rPr>
          <w:color w:val="545454"/>
          <w:sz w:val="17"/>
          <w:szCs w:val="17"/>
        </w:rPr>
      </w:pPr>
      <w:r w:rsidRPr="00FA5C46">
        <w:rPr>
          <w:color w:val="545454"/>
          <w:sz w:val="17"/>
          <w:szCs w:val="17"/>
        </w:rPr>
        <w:t xml:space="preserve">El gasto que las </w:t>
      </w:r>
      <w:r w:rsidR="000D415A" w:rsidRPr="00FA5C46">
        <w:rPr>
          <w:color w:val="545454"/>
          <w:sz w:val="17"/>
          <w:szCs w:val="17"/>
        </w:rPr>
        <w:t xml:space="preserve">familias españolas </w:t>
      </w:r>
      <w:r w:rsidRPr="00FA5C46">
        <w:rPr>
          <w:color w:val="545454"/>
          <w:sz w:val="17"/>
          <w:szCs w:val="17"/>
        </w:rPr>
        <w:t>dedicaron</w:t>
      </w:r>
      <w:r w:rsidR="00FC58BA" w:rsidRPr="00FA5C46">
        <w:rPr>
          <w:color w:val="545454"/>
          <w:sz w:val="17"/>
          <w:szCs w:val="17"/>
        </w:rPr>
        <w:t xml:space="preserve"> </w:t>
      </w:r>
      <w:r w:rsidRPr="00FA5C46">
        <w:rPr>
          <w:color w:val="545454"/>
          <w:sz w:val="17"/>
          <w:szCs w:val="17"/>
        </w:rPr>
        <w:t>a</w:t>
      </w:r>
      <w:r w:rsidR="006B250F">
        <w:rPr>
          <w:color w:val="545454"/>
          <w:sz w:val="17"/>
          <w:szCs w:val="17"/>
        </w:rPr>
        <w:t xml:space="preserve"> la</w:t>
      </w:r>
      <w:r w:rsidRPr="00FA5C46">
        <w:rPr>
          <w:color w:val="545454"/>
          <w:sz w:val="17"/>
          <w:szCs w:val="17"/>
        </w:rPr>
        <w:t xml:space="preserve"> salud en 2023 </w:t>
      </w:r>
      <w:r w:rsidR="00207A25" w:rsidRPr="00FA5C46">
        <w:rPr>
          <w:color w:val="545454"/>
          <w:sz w:val="17"/>
          <w:szCs w:val="17"/>
        </w:rPr>
        <w:t>supuso</w:t>
      </w:r>
      <w:r w:rsidRPr="00FA5C46">
        <w:rPr>
          <w:color w:val="545454"/>
          <w:sz w:val="17"/>
          <w:szCs w:val="17"/>
        </w:rPr>
        <w:t xml:space="preserve"> </w:t>
      </w:r>
      <w:r w:rsidR="000D415A" w:rsidRPr="00FA5C46">
        <w:rPr>
          <w:color w:val="545454"/>
          <w:sz w:val="17"/>
          <w:szCs w:val="17"/>
        </w:rPr>
        <w:t>un 4,8% de su presupuesto</w:t>
      </w:r>
      <w:r w:rsidR="005C33A1" w:rsidRPr="00FA5C46">
        <w:rPr>
          <w:color w:val="545454"/>
          <w:sz w:val="17"/>
          <w:szCs w:val="17"/>
        </w:rPr>
        <w:t xml:space="preserve"> total</w:t>
      </w:r>
      <w:r w:rsidR="005A13DE" w:rsidRPr="00FA5C46">
        <w:rPr>
          <w:color w:val="545454"/>
          <w:sz w:val="17"/>
          <w:szCs w:val="17"/>
        </w:rPr>
        <w:t xml:space="preserve">, frente al </w:t>
      </w:r>
      <w:r w:rsidR="002E01D4" w:rsidRPr="003F6899">
        <w:rPr>
          <w:color w:val="545454"/>
          <w:sz w:val="17"/>
          <w:szCs w:val="17"/>
        </w:rPr>
        <w:t>3,4</w:t>
      </w:r>
      <w:r w:rsidR="005A13DE" w:rsidRPr="003F6899">
        <w:rPr>
          <w:color w:val="545454"/>
          <w:sz w:val="17"/>
          <w:szCs w:val="17"/>
        </w:rPr>
        <w:t>%</w:t>
      </w:r>
      <w:r w:rsidR="005A13DE" w:rsidRPr="00FA5C46">
        <w:rPr>
          <w:color w:val="545454"/>
          <w:sz w:val="17"/>
          <w:szCs w:val="17"/>
        </w:rPr>
        <w:t xml:space="preserve"> </w:t>
      </w:r>
      <w:r w:rsidR="006B250F">
        <w:rPr>
          <w:color w:val="545454"/>
          <w:sz w:val="17"/>
          <w:szCs w:val="17"/>
        </w:rPr>
        <w:t>en</w:t>
      </w:r>
      <w:r w:rsidR="005A13DE" w:rsidRPr="00FA5C46">
        <w:rPr>
          <w:color w:val="545454"/>
          <w:sz w:val="17"/>
          <w:szCs w:val="17"/>
        </w:rPr>
        <w:t xml:space="preserve"> </w:t>
      </w:r>
      <w:r w:rsidR="005A13DE" w:rsidRPr="003F6899">
        <w:rPr>
          <w:color w:val="545454"/>
          <w:sz w:val="17"/>
          <w:szCs w:val="17"/>
        </w:rPr>
        <w:t>200</w:t>
      </w:r>
      <w:r w:rsidR="002E01D4" w:rsidRPr="003F6899">
        <w:rPr>
          <w:color w:val="545454"/>
          <w:sz w:val="17"/>
          <w:szCs w:val="17"/>
        </w:rPr>
        <w:t>6</w:t>
      </w:r>
      <w:r w:rsidR="006B250F">
        <w:rPr>
          <w:color w:val="545454"/>
          <w:sz w:val="17"/>
          <w:szCs w:val="17"/>
        </w:rPr>
        <w:t xml:space="preserve"> </w:t>
      </w:r>
      <w:r w:rsidR="006B250F">
        <w:rPr>
          <w:color w:val="545454"/>
          <w:sz w:val="17"/>
          <w:szCs w:val="17"/>
        </w:rPr>
        <w:lastRenderedPageBreak/>
        <w:t>(</w:t>
      </w:r>
      <w:r w:rsidR="00895891" w:rsidRPr="00FA5C46">
        <w:rPr>
          <w:color w:val="545454"/>
          <w:sz w:val="17"/>
          <w:szCs w:val="17"/>
        </w:rPr>
        <w:t>primero con información disponible</w:t>
      </w:r>
      <w:r w:rsidR="006B250F">
        <w:rPr>
          <w:color w:val="545454"/>
          <w:sz w:val="17"/>
          <w:szCs w:val="17"/>
        </w:rPr>
        <w:t>)</w:t>
      </w:r>
      <w:r w:rsidR="00FC58BA" w:rsidRPr="00FA5C46">
        <w:rPr>
          <w:color w:val="545454"/>
          <w:sz w:val="17"/>
          <w:szCs w:val="17"/>
        </w:rPr>
        <w:t>.</w:t>
      </w:r>
      <w:r w:rsidR="000D415A" w:rsidRPr="00FA5C46">
        <w:rPr>
          <w:color w:val="545454"/>
          <w:sz w:val="17"/>
          <w:szCs w:val="17"/>
        </w:rPr>
        <w:t xml:space="preserve"> Se trata</w:t>
      </w:r>
      <w:r w:rsidR="005A13DE" w:rsidRPr="00FA5C46">
        <w:rPr>
          <w:color w:val="545454"/>
          <w:sz w:val="17"/>
          <w:szCs w:val="17"/>
        </w:rPr>
        <w:t xml:space="preserve"> </w:t>
      </w:r>
      <w:r w:rsidR="000D415A" w:rsidRPr="00FA5C46">
        <w:rPr>
          <w:color w:val="545454"/>
          <w:sz w:val="17"/>
          <w:szCs w:val="17"/>
        </w:rPr>
        <w:t>de un porcentaje reducido de la cesta</w:t>
      </w:r>
      <w:r w:rsidR="000D415A">
        <w:rPr>
          <w:color w:val="545454"/>
          <w:sz w:val="17"/>
          <w:szCs w:val="17"/>
        </w:rPr>
        <w:t xml:space="preserve"> de la compra de los hogares como consecuencia del carácter universal y público </w:t>
      </w:r>
      <w:r w:rsidR="00174AE5">
        <w:rPr>
          <w:color w:val="545454"/>
          <w:sz w:val="17"/>
          <w:szCs w:val="17"/>
        </w:rPr>
        <w:t>d</w:t>
      </w:r>
      <w:r w:rsidR="00E20967">
        <w:rPr>
          <w:color w:val="545454"/>
          <w:sz w:val="17"/>
          <w:szCs w:val="17"/>
        </w:rPr>
        <w:t>el</w:t>
      </w:r>
      <w:r w:rsidR="000D415A">
        <w:rPr>
          <w:color w:val="545454"/>
          <w:sz w:val="17"/>
          <w:szCs w:val="17"/>
        </w:rPr>
        <w:t xml:space="preserve"> sistema sanitario español</w:t>
      </w:r>
      <w:r w:rsidR="00895891">
        <w:rPr>
          <w:color w:val="545454"/>
          <w:sz w:val="17"/>
          <w:szCs w:val="17"/>
        </w:rPr>
        <w:t>,</w:t>
      </w:r>
      <w:r w:rsidR="003F6899">
        <w:rPr>
          <w:color w:val="545454"/>
          <w:sz w:val="17"/>
          <w:szCs w:val="17"/>
        </w:rPr>
        <w:t xml:space="preserve"> p</w:t>
      </w:r>
      <w:r w:rsidR="00ED4992">
        <w:rPr>
          <w:color w:val="545454"/>
          <w:sz w:val="17"/>
          <w:szCs w:val="17"/>
        </w:rPr>
        <w:t>ero es</w:t>
      </w:r>
      <w:r w:rsidR="00174AE5">
        <w:rPr>
          <w:color w:val="545454"/>
          <w:sz w:val="17"/>
          <w:szCs w:val="17"/>
        </w:rPr>
        <w:t xml:space="preserve"> </w:t>
      </w:r>
      <w:r w:rsidR="00E20967">
        <w:rPr>
          <w:color w:val="545454"/>
          <w:sz w:val="17"/>
          <w:szCs w:val="17"/>
        </w:rPr>
        <w:t>creciente</w:t>
      </w:r>
      <w:r w:rsidR="000D415A">
        <w:rPr>
          <w:color w:val="545454"/>
          <w:sz w:val="17"/>
          <w:szCs w:val="17"/>
        </w:rPr>
        <w:t xml:space="preserve"> en </w:t>
      </w:r>
      <w:r w:rsidR="00E20967">
        <w:rPr>
          <w:color w:val="545454"/>
          <w:sz w:val="17"/>
          <w:szCs w:val="17"/>
        </w:rPr>
        <w:t>las últimas décadas y</w:t>
      </w:r>
      <w:r w:rsidR="00174AE5">
        <w:rPr>
          <w:color w:val="545454"/>
          <w:sz w:val="17"/>
          <w:szCs w:val="17"/>
        </w:rPr>
        <w:t xml:space="preserve"> va </w:t>
      </w:r>
      <w:r w:rsidR="000D415A">
        <w:rPr>
          <w:color w:val="545454"/>
          <w:sz w:val="17"/>
          <w:szCs w:val="17"/>
        </w:rPr>
        <w:t>acompañado</w:t>
      </w:r>
      <w:r w:rsidR="00174AE5">
        <w:rPr>
          <w:color w:val="545454"/>
          <w:sz w:val="17"/>
          <w:szCs w:val="17"/>
        </w:rPr>
        <w:t xml:space="preserve"> </w:t>
      </w:r>
      <w:r w:rsidR="000D415A">
        <w:rPr>
          <w:color w:val="545454"/>
          <w:sz w:val="17"/>
          <w:szCs w:val="17"/>
        </w:rPr>
        <w:t xml:space="preserve">de un cambio en el patrón </w:t>
      </w:r>
      <w:r w:rsidR="00ED4992">
        <w:rPr>
          <w:color w:val="545454"/>
          <w:sz w:val="17"/>
          <w:szCs w:val="17"/>
        </w:rPr>
        <w:t xml:space="preserve">privado </w:t>
      </w:r>
      <w:r w:rsidR="000D415A">
        <w:rPr>
          <w:color w:val="545454"/>
          <w:sz w:val="17"/>
          <w:szCs w:val="17"/>
        </w:rPr>
        <w:t>de consumo</w:t>
      </w:r>
      <w:r w:rsidR="005C33A1">
        <w:rPr>
          <w:color w:val="545454"/>
          <w:sz w:val="17"/>
          <w:szCs w:val="17"/>
        </w:rPr>
        <w:t xml:space="preserve"> de salud</w:t>
      </w:r>
      <w:r w:rsidR="000D415A">
        <w:rPr>
          <w:color w:val="545454"/>
          <w:sz w:val="17"/>
          <w:szCs w:val="17"/>
        </w:rPr>
        <w:t>.</w:t>
      </w:r>
    </w:p>
    <w:p w14:paraId="792F87E4" w14:textId="77777777" w:rsidR="00D3407B" w:rsidRDefault="00025802" w:rsidP="00E1501D">
      <w:pPr>
        <w:widowControl/>
        <w:spacing w:before="120"/>
        <w:ind w:right="0"/>
        <w:rPr>
          <w:color w:val="545454"/>
          <w:sz w:val="17"/>
          <w:szCs w:val="17"/>
        </w:rPr>
      </w:pPr>
      <w:r>
        <w:rPr>
          <w:color w:val="545454"/>
          <w:sz w:val="17"/>
          <w:szCs w:val="17"/>
        </w:rPr>
        <w:t>La</w:t>
      </w:r>
      <w:r w:rsidR="00662038" w:rsidRPr="00662038">
        <w:rPr>
          <w:color w:val="545454"/>
          <w:sz w:val="17"/>
          <w:szCs w:val="17"/>
        </w:rPr>
        <w:t xml:space="preserve"> mayor parte del gasto de las familias en salud sigue siendo la dedicada a la compra de aparatos y equipos terapéuticos, como gafas graduadas o audífonos (un 28,8%), pero su importancia relativa se ha reducido con los años (en 2010 suponía el 34,4% del total). También ha descendido el peso del gasto en servicios dentales</w:t>
      </w:r>
      <w:r w:rsidR="00F71461">
        <w:rPr>
          <w:color w:val="545454"/>
          <w:sz w:val="17"/>
          <w:szCs w:val="17"/>
        </w:rPr>
        <w:t xml:space="preserve"> </w:t>
      </w:r>
      <w:r w:rsidR="00F71461" w:rsidRPr="00662038">
        <w:rPr>
          <w:color w:val="545454"/>
          <w:sz w:val="17"/>
          <w:szCs w:val="17"/>
        </w:rPr>
        <w:t>(14% en 2023, frente a 17,8% en 2010</w:t>
      </w:r>
      <w:r w:rsidR="00F71461">
        <w:rPr>
          <w:color w:val="545454"/>
          <w:sz w:val="17"/>
          <w:szCs w:val="17"/>
        </w:rPr>
        <w:t>)</w:t>
      </w:r>
      <w:r w:rsidR="00662038" w:rsidRPr="00662038">
        <w:rPr>
          <w:color w:val="545454"/>
          <w:sz w:val="17"/>
          <w:szCs w:val="17"/>
        </w:rPr>
        <w:t xml:space="preserve"> </w:t>
      </w:r>
      <w:r w:rsidR="00F71461">
        <w:rPr>
          <w:color w:val="545454"/>
          <w:sz w:val="17"/>
          <w:szCs w:val="17"/>
        </w:rPr>
        <w:t>y</w:t>
      </w:r>
      <w:r w:rsidR="00662038" w:rsidRPr="00662038">
        <w:rPr>
          <w:color w:val="545454"/>
          <w:sz w:val="17"/>
          <w:szCs w:val="17"/>
        </w:rPr>
        <w:t xml:space="preserve"> en </w:t>
      </w:r>
      <w:r w:rsidR="00F71461">
        <w:rPr>
          <w:color w:val="545454"/>
          <w:sz w:val="17"/>
          <w:szCs w:val="17"/>
        </w:rPr>
        <w:t>atención</w:t>
      </w:r>
      <w:r w:rsidR="00662038" w:rsidRPr="00662038">
        <w:rPr>
          <w:color w:val="545454"/>
          <w:sz w:val="17"/>
          <w:szCs w:val="17"/>
        </w:rPr>
        <w:t xml:space="preserve"> médic</w:t>
      </w:r>
      <w:r w:rsidR="00F71461">
        <w:rPr>
          <w:color w:val="545454"/>
          <w:sz w:val="17"/>
          <w:szCs w:val="17"/>
        </w:rPr>
        <w:t>a</w:t>
      </w:r>
      <w:r w:rsidR="00662038" w:rsidRPr="00662038">
        <w:rPr>
          <w:color w:val="545454"/>
          <w:sz w:val="17"/>
          <w:szCs w:val="17"/>
        </w:rPr>
        <w:t xml:space="preserve"> y hospitalari</w:t>
      </w:r>
      <w:r w:rsidR="00F71461">
        <w:rPr>
          <w:color w:val="545454"/>
          <w:sz w:val="17"/>
          <w:szCs w:val="17"/>
        </w:rPr>
        <w:t>a costeada directamente por el paciente</w:t>
      </w:r>
      <w:r w:rsidR="00662038" w:rsidRPr="00662038">
        <w:rPr>
          <w:color w:val="545454"/>
          <w:sz w:val="17"/>
          <w:szCs w:val="17"/>
        </w:rPr>
        <w:t xml:space="preserve">. </w:t>
      </w:r>
      <w:r w:rsidR="003F238A">
        <w:rPr>
          <w:color w:val="545454"/>
          <w:sz w:val="17"/>
          <w:szCs w:val="17"/>
        </w:rPr>
        <w:t xml:space="preserve">Esta caída se ve contrarrestada por </w:t>
      </w:r>
      <w:r w:rsidR="00F71461">
        <w:rPr>
          <w:color w:val="545454"/>
          <w:sz w:val="17"/>
          <w:szCs w:val="17"/>
        </w:rPr>
        <w:t xml:space="preserve">la </w:t>
      </w:r>
      <w:r w:rsidR="003F238A">
        <w:rPr>
          <w:color w:val="545454"/>
          <w:sz w:val="17"/>
          <w:szCs w:val="17"/>
        </w:rPr>
        <w:t xml:space="preserve">mayor </w:t>
      </w:r>
      <w:r w:rsidR="00F71461">
        <w:rPr>
          <w:color w:val="545454"/>
          <w:sz w:val="17"/>
          <w:szCs w:val="17"/>
        </w:rPr>
        <w:t xml:space="preserve">importancia </w:t>
      </w:r>
      <w:r w:rsidR="003F238A">
        <w:rPr>
          <w:color w:val="545454"/>
          <w:sz w:val="17"/>
          <w:szCs w:val="17"/>
        </w:rPr>
        <w:t>que adquieren l</w:t>
      </w:r>
      <w:r w:rsidR="00662038" w:rsidRPr="00662038">
        <w:rPr>
          <w:color w:val="545454"/>
          <w:sz w:val="17"/>
          <w:szCs w:val="17"/>
        </w:rPr>
        <w:t xml:space="preserve">os seguros </w:t>
      </w:r>
      <w:r>
        <w:rPr>
          <w:color w:val="545454"/>
          <w:sz w:val="17"/>
          <w:szCs w:val="17"/>
        </w:rPr>
        <w:t xml:space="preserve">privados </w:t>
      </w:r>
      <w:r w:rsidR="00662038" w:rsidRPr="00662038">
        <w:rPr>
          <w:color w:val="545454"/>
          <w:sz w:val="17"/>
          <w:szCs w:val="17"/>
        </w:rPr>
        <w:t>de salud</w:t>
      </w:r>
      <w:r w:rsidR="00F71461">
        <w:rPr>
          <w:color w:val="545454"/>
          <w:sz w:val="17"/>
          <w:szCs w:val="17"/>
        </w:rPr>
        <w:t>, con los que se financia</w:t>
      </w:r>
      <w:r w:rsidR="003F238A">
        <w:rPr>
          <w:color w:val="545454"/>
          <w:sz w:val="17"/>
          <w:szCs w:val="17"/>
        </w:rPr>
        <w:t>n</w:t>
      </w:r>
      <w:r w:rsidR="00F71461">
        <w:rPr>
          <w:color w:val="545454"/>
          <w:sz w:val="17"/>
          <w:szCs w:val="17"/>
        </w:rPr>
        <w:t xml:space="preserve"> </w:t>
      </w:r>
      <w:r w:rsidR="003F238A">
        <w:rPr>
          <w:color w:val="545454"/>
          <w:sz w:val="17"/>
          <w:szCs w:val="17"/>
        </w:rPr>
        <w:t xml:space="preserve">consultas y pruebas médicas y hospitalarias, </w:t>
      </w:r>
      <w:r w:rsidR="00662038" w:rsidRPr="00662038">
        <w:rPr>
          <w:color w:val="545454"/>
          <w:sz w:val="17"/>
          <w:szCs w:val="17"/>
        </w:rPr>
        <w:t xml:space="preserve">ya </w:t>
      </w:r>
      <w:r w:rsidR="003F238A">
        <w:rPr>
          <w:color w:val="545454"/>
          <w:sz w:val="17"/>
          <w:szCs w:val="17"/>
        </w:rPr>
        <w:t xml:space="preserve">que </w:t>
      </w:r>
      <w:r w:rsidR="00662038" w:rsidRPr="00662038">
        <w:rPr>
          <w:color w:val="545454"/>
          <w:sz w:val="17"/>
          <w:szCs w:val="17"/>
        </w:rPr>
        <w:t>representan el 20,7% del gasto sanitario de las familias,</w:t>
      </w:r>
      <w:r w:rsidR="00662038">
        <w:rPr>
          <w:color w:val="545454"/>
          <w:sz w:val="17"/>
          <w:szCs w:val="17"/>
        </w:rPr>
        <w:t xml:space="preserve"> </w:t>
      </w:r>
      <w:r w:rsidR="00662038" w:rsidRPr="00662038">
        <w:rPr>
          <w:color w:val="545454"/>
          <w:sz w:val="17"/>
          <w:szCs w:val="17"/>
        </w:rPr>
        <w:t>casi 5 puntos porcentuales</w:t>
      </w:r>
      <w:r w:rsidR="00662038">
        <w:rPr>
          <w:color w:val="545454"/>
          <w:sz w:val="17"/>
          <w:szCs w:val="17"/>
        </w:rPr>
        <w:t xml:space="preserve"> </w:t>
      </w:r>
      <w:r w:rsidR="00662038" w:rsidRPr="00662038">
        <w:rPr>
          <w:color w:val="545454"/>
          <w:sz w:val="17"/>
          <w:szCs w:val="17"/>
        </w:rPr>
        <w:t xml:space="preserve">(pp.) </w:t>
      </w:r>
      <w:r w:rsidR="00662038">
        <w:rPr>
          <w:color w:val="545454"/>
          <w:sz w:val="17"/>
          <w:szCs w:val="17"/>
        </w:rPr>
        <w:t xml:space="preserve">más </w:t>
      </w:r>
      <w:r w:rsidR="00662038" w:rsidRPr="00662038">
        <w:rPr>
          <w:color w:val="545454"/>
          <w:sz w:val="17"/>
          <w:szCs w:val="17"/>
        </w:rPr>
        <w:t>que en 2010</w:t>
      </w:r>
      <w:r w:rsidR="003F238A">
        <w:rPr>
          <w:color w:val="545454"/>
          <w:sz w:val="17"/>
          <w:szCs w:val="17"/>
        </w:rPr>
        <w:t>.</w:t>
      </w:r>
      <w:r w:rsidR="00662038" w:rsidRPr="00662038">
        <w:rPr>
          <w:color w:val="545454"/>
          <w:sz w:val="17"/>
          <w:szCs w:val="17"/>
        </w:rPr>
        <w:t xml:space="preserve"> También destaca el aumento del gasto en productos farmacéuticos, que representa un 18,3% del gasto de las familias -casi 2 pp. más que en 2010-, y el incremento experimentado por los servicios médicos auxiliares, tales como la realización de pruebas diagnósticas o los servicios de rehabilitación, de psicología o fisioterapia, entre otros, que ha duplicado su peso en el gasto pasando de un 3,6% a un 7,3%</w:t>
      </w:r>
      <w:r w:rsidR="00F85D6E">
        <w:rPr>
          <w:color w:val="545454"/>
          <w:sz w:val="17"/>
          <w:szCs w:val="17"/>
        </w:rPr>
        <w:t>.</w:t>
      </w:r>
      <w:r w:rsidR="00211057">
        <w:rPr>
          <w:color w:val="545454"/>
          <w:sz w:val="17"/>
          <w:szCs w:val="17"/>
        </w:rPr>
        <w:t xml:space="preserve"> </w:t>
      </w:r>
    </w:p>
    <w:p w14:paraId="2F7D2433" w14:textId="77777777" w:rsidR="00662038" w:rsidRDefault="00662038" w:rsidP="00662038">
      <w:pPr>
        <w:pBdr>
          <w:top w:val="single" w:sz="4" w:space="1" w:color="auto"/>
        </w:pBdr>
        <w:spacing w:after="0"/>
        <w:ind w:right="0"/>
        <w:rPr>
          <w:rFonts w:eastAsia="Tahoma" w:cs="Tahoma"/>
          <w:b/>
          <w:bCs/>
          <w:color w:val="121212" w:themeColor="background2"/>
          <w:kern w:val="24"/>
          <w:szCs w:val="18"/>
        </w:rPr>
      </w:pPr>
      <w:r>
        <w:rPr>
          <w:rFonts w:eastAsia="Tahoma" w:cs="Tahoma"/>
          <w:b/>
          <w:bCs/>
          <w:color w:val="121212" w:themeColor="background2"/>
          <w:kern w:val="24"/>
          <w:szCs w:val="18"/>
        </w:rPr>
        <w:t>Distribución porcentual del gasto en salud de los hogares por función de gasto. España</w:t>
      </w:r>
      <w:r w:rsidR="0023451B">
        <w:rPr>
          <w:rFonts w:eastAsia="Tahoma" w:cs="Tahoma"/>
          <w:b/>
          <w:bCs/>
          <w:color w:val="121212" w:themeColor="background2"/>
          <w:kern w:val="24"/>
          <w:szCs w:val="18"/>
        </w:rPr>
        <w:t>,</w:t>
      </w:r>
      <w:r>
        <w:rPr>
          <w:rFonts w:eastAsia="Tahoma" w:cs="Tahoma"/>
          <w:b/>
          <w:bCs/>
          <w:color w:val="121212" w:themeColor="background2"/>
          <w:kern w:val="24"/>
          <w:szCs w:val="18"/>
        </w:rPr>
        <w:t xml:space="preserve"> 2010-2023 (porcentaje)</w:t>
      </w:r>
      <w:hyperlink r:id="rId13" w:history="1">
        <w:r w:rsidRPr="00A52510">
          <w:rPr>
            <w:rStyle w:val="Hipervnculo"/>
            <w:rFonts w:eastAsia="Tahoma" w:cs="Tahoma"/>
            <w:b/>
            <w:bCs/>
            <w:kern w:val="24"/>
            <w:szCs w:val="18"/>
          </w:rPr>
          <w:t xml:space="preserve"> </w:t>
        </w:r>
        <w:proofErr w:type="gramStart"/>
        <w:r w:rsidRPr="00A52510">
          <w:rPr>
            <w:rStyle w:val="Hipervnculo"/>
            <w:b/>
            <w:sz w:val="14"/>
            <w:szCs w:val="14"/>
          </w:rPr>
          <w:t>Descargar  &gt;</w:t>
        </w:r>
        <w:proofErr w:type="gramEnd"/>
      </w:hyperlink>
    </w:p>
    <w:p w14:paraId="6EE2816E" w14:textId="77777777" w:rsidR="00662038" w:rsidRDefault="00A93B60" w:rsidP="0023451B">
      <w:pPr>
        <w:spacing w:after="0"/>
        <w:ind w:right="0"/>
        <w:rPr>
          <w:rFonts w:eastAsia="Tahoma" w:cs="Tahoma"/>
          <w:b/>
          <w:bCs/>
          <w:color w:val="121212" w:themeColor="background2"/>
          <w:kern w:val="24"/>
          <w:szCs w:val="18"/>
        </w:rPr>
      </w:pPr>
      <w:r>
        <w:rPr>
          <w:noProof/>
        </w:rPr>
        <w:drawing>
          <wp:inline distT="0" distB="0" distL="0" distR="0" wp14:anchorId="23BCBD56" wp14:editId="4209D540">
            <wp:extent cx="3235960" cy="1477671"/>
            <wp:effectExtent l="0" t="0" r="2540" b="8255"/>
            <wp:docPr id="721731562" name="Gráfico 1">
              <a:extLst xmlns:a="http://schemas.openxmlformats.org/drawingml/2006/main">
                <a:ext uri="{FF2B5EF4-FFF2-40B4-BE49-F238E27FC236}">
                  <a16:creationId xmlns:a16="http://schemas.microsoft.com/office/drawing/2014/main" id="{64AA29DB-B0F8-4428-AFC8-BEA564D9E5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28C4F0D" w14:textId="77777777" w:rsidR="00662038" w:rsidRPr="007C33CF" w:rsidRDefault="00662038" w:rsidP="00662038">
      <w:pPr>
        <w:pBdr>
          <w:bottom w:val="single" w:sz="4" w:space="1" w:color="auto"/>
        </w:pBdr>
        <w:spacing w:after="0"/>
        <w:rPr>
          <w:rFonts w:asciiTheme="majorHAnsi" w:eastAsia="Times New Roman" w:hAnsiTheme="majorHAnsi" w:cs="Calibri"/>
          <w:sz w:val="14"/>
          <w:szCs w:val="14"/>
        </w:rPr>
      </w:pPr>
      <w:r w:rsidRPr="008C3539">
        <w:rPr>
          <w:rFonts w:asciiTheme="majorHAnsi" w:eastAsia="Times New Roman" w:hAnsiTheme="majorHAnsi" w:cs="Calibri"/>
          <w:sz w:val="14"/>
          <w:szCs w:val="14"/>
        </w:rPr>
        <w:t xml:space="preserve">Fuente: </w:t>
      </w:r>
      <w:r>
        <w:rPr>
          <w:rFonts w:asciiTheme="majorHAnsi" w:eastAsia="Times New Roman" w:hAnsiTheme="majorHAnsi" w:cs="Calibri"/>
          <w:sz w:val="14"/>
          <w:szCs w:val="14"/>
        </w:rPr>
        <w:t>Encuesta de Presupuestos Familiares (INE)</w:t>
      </w:r>
    </w:p>
    <w:p w14:paraId="5BC16363" w14:textId="77777777" w:rsidR="00E1501D" w:rsidRPr="00870886" w:rsidRDefault="00E1501D" w:rsidP="00E1501D">
      <w:pPr>
        <w:widowControl/>
        <w:spacing w:before="120"/>
        <w:ind w:right="0"/>
        <w:rPr>
          <w:color w:val="545454"/>
          <w:sz w:val="17"/>
          <w:szCs w:val="17"/>
        </w:rPr>
      </w:pPr>
      <w:r w:rsidRPr="00870886">
        <w:rPr>
          <w:color w:val="545454"/>
          <w:sz w:val="17"/>
          <w:szCs w:val="17"/>
        </w:rPr>
        <w:t>E</w:t>
      </w:r>
      <w:r w:rsidR="00662038">
        <w:rPr>
          <w:color w:val="545454"/>
          <w:sz w:val="17"/>
          <w:szCs w:val="17"/>
        </w:rPr>
        <w:t>ste</w:t>
      </w:r>
      <w:r w:rsidRPr="00870886">
        <w:rPr>
          <w:color w:val="545454"/>
          <w:sz w:val="17"/>
          <w:szCs w:val="17"/>
        </w:rPr>
        <w:t xml:space="preserve"> cambio en el patrón de gasto </w:t>
      </w:r>
      <w:r w:rsidR="00AB69FA">
        <w:rPr>
          <w:color w:val="545454"/>
          <w:sz w:val="17"/>
          <w:szCs w:val="17"/>
        </w:rPr>
        <w:t xml:space="preserve">de las familias </w:t>
      </w:r>
      <w:r w:rsidR="00ED4992">
        <w:rPr>
          <w:color w:val="545454"/>
          <w:sz w:val="17"/>
          <w:szCs w:val="17"/>
        </w:rPr>
        <w:t xml:space="preserve">en salud </w:t>
      </w:r>
      <w:r w:rsidRPr="00870886">
        <w:rPr>
          <w:color w:val="545454"/>
          <w:sz w:val="17"/>
          <w:szCs w:val="17"/>
        </w:rPr>
        <w:t>se ve</w:t>
      </w:r>
      <w:r w:rsidR="00A02A49">
        <w:rPr>
          <w:color w:val="545454"/>
          <w:sz w:val="17"/>
          <w:szCs w:val="17"/>
        </w:rPr>
        <w:t xml:space="preserve"> </w:t>
      </w:r>
      <w:r w:rsidRPr="00870886">
        <w:rPr>
          <w:color w:val="545454"/>
          <w:sz w:val="17"/>
          <w:szCs w:val="17"/>
        </w:rPr>
        <w:t xml:space="preserve">reflejado en el incremento </w:t>
      </w:r>
      <w:r w:rsidR="00025802">
        <w:rPr>
          <w:color w:val="545454"/>
          <w:sz w:val="17"/>
          <w:szCs w:val="17"/>
        </w:rPr>
        <w:t>de la</w:t>
      </w:r>
      <w:r w:rsidRPr="00870886">
        <w:rPr>
          <w:color w:val="545454"/>
          <w:sz w:val="17"/>
          <w:szCs w:val="17"/>
        </w:rPr>
        <w:t xml:space="preserve"> actividad asistencial en hospitales privados que no forman parte del S</w:t>
      </w:r>
      <w:r w:rsidR="0074187C">
        <w:rPr>
          <w:color w:val="545454"/>
          <w:sz w:val="17"/>
          <w:szCs w:val="17"/>
        </w:rPr>
        <w:t xml:space="preserve">istema </w:t>
      </w:r>
      <w:r w:rsidRPr="00870886">
        <w:rPr>
          <w:color w:val="545454"/>
          <w:sz w:val="17"/>
          <w:szCs w:val="17"/>
        </w:rPr>
        <w:t>N</w:t>
      </w:r>
      <w:r w:rsidR="0074187C">
        <w:rPr>
          <w:color w:val="545454"/>
          <w:sz w:val="17"/>
          <w:szCs w:val="17"/>
        </w:rPr>
        <w:t xml:space="preserve">acional de </w:t>
      </w:r>
      <w:r w:rsidRPr="00870886">
        <w:rPr>
          <w:color w:val="545454"/>
          <w:sz w:val="17"/>
          <w:szCs w:val="17"/>
        </w:rPr>
        <w:t>S</w:t>
      </w:r>
      <w:r w:rsidR="0074187C">
        <w:rPr>
          <w:color w:val="545454"/>
          <w:sz w:val="17"/>
          <w:szCs w:val="17"/>
        </w:rPr>
        <w:t>alud (SNS)</w:t>
      </w:r>
      <w:r w:rsidRPr="00870886">
        <w:rPr>
          <w:color w:val="545454"/>
          <w:sz w:val="17"/>
          <w:szCs w:val="17"/>
        </w:rPr>
        <w:t xml:space="preserve">, especialmente </w:t>
      </w:r>
      <w:r w:rsidR="000C189A">
        <w:rPr>
          <w:color w:val="545454"/>
          <w:sz w:val="17"/>
          <w:szCs w:val="17"/>
        </w:rPr>
        <w:t>la de</w:t>
      </w:r>
      <w:r w:rsidRPr="00870886">
        <w:rPr>
          <w:color w:val="545454"/>
          <w:sz w:val="17"/>
          <w:szCs w:val="17"/>
        </w:rPr>
        <w:t xml:space="preserve"> consultas externas</w:t>
      </w:r>
      <w:r w:rsidR="0074187C">
        <w:rPr>
          <w:color w:val="545454"/>
          <w:sz w:val="17"/>
          <w:szCs w:val="17"/>
        </w:rPr>
        <w:t>. Aunque</w:t>
      </w:r>
      <w:r w:rsidRPr="00870886">
        <w:rPr>
          <w:color w:val="545454"/>
          <w:sz w:val="17"/>
          <w:szCs w:val="17"/>
        </w:rPr>
        <w:t xml:space="preserve"> </w:t>
      </w:r>
      <w:r w:rsidR="00870886" w:rsidRPr="00870886">
        <w:rPr>
          <w:color w:val="545454"/>
          <w:sz w:val="17"/>
          <w:szCs w:val="17"/>
        </w:rPr>
        <w:t>en valores absolutos</w:t>
      </w:r>
      <w:r w:rsidR="00A02A49">
        <w:rPr>
          <w:color w:val="545454"/>
          <w:sz w:val="17"/>
          <w:szCs w:val="17"/>
        </w:rPr>
        <w:t>,</w:t>
      </w:r>
      <w:r w:rsidR="0074187C">
        <w:rPr>
          <w:color w:val="545454"/>
          <w:sz w:val="17"/>
          <w:szCs w:val="17"/>
        </w:rPr>
        <w:t xml:space="preserve"> </w:t>
      </w:r>
      <w:r w:rsidR="003F238A">
        <w:rPr>
          <w:color w:val="545454"/>
          <w:sz w:val="17"/>
          <w:szCs w:val="17"/>
        </w:rPr>
        <w:t>el volumen de</w:t>
      </w:r>
      <w:r w:rsidR="0074187C">
        <w:rPr>
          <w:color w:val="545454"/>
          <w:sz w:val="17"/>
          <w:szCs w:val="17"/>
        </w:rPr>
        <w:t xml:space="preserve"> consultas externas </w:t>
      </w:r>
      <w:r w:rsidR="003F238A">
        <w:rPr>
          <w:color w:val="545454"/>
          <w:sz w:val="17"/>
          <w:szCs w:val="17"/>
        </w:rPr>
        <w:t xml:space="preserve">en hospitales privados </w:t>
      </w:r>
      <w:r w:rsidR="0074187C">
        <w:rPr>
          <w:color w:val="545454"/>
          <w:sz w:val="17"/>
          <w:szCs w:val="17"/>
        </w:rPr>
        <w:t>es</w:t>
      </w:r>
      <w:r w:rsidR="00870886" w:rsidRPr="00870886">
        <w:rPr>
          <w:color w:val="545454"/>
          <w:sz w:val="17"/>
          <w:szCs w:val="17"/>
        </w:rPr>
        <w:t xml:space="preserve"> </w:t>
      </w:r>
      <w:r w:rsidRPr="00870886">
        <w:rPr>
          <w:color w:val="545454"/>
          <w:sz w:val="17"/>
          <w:szCs w:val="17"/>
        </w:rPr>
        <w:t xml:space="preserve">sustancialmente menor </w:t>
      </w:r>
      <w:r w:rsidR="00025802">
        <w:rPr>
          <w:color w:val="545454"/>
          <w:sz w:val="17"/>
          <w:szCs w:val="17"/>
        </w:rPr>
        <w:t>(</w:t>
      </w:r>
      <w:r w:rsidR="006744CE">
        <w:rPr>
          <w:color w:val="545454"/>
          <w:sz w:val="17"/>
          <w:szCs w:val="17"/>
        </w:rPr>
        <w:t>23</w:t>
      </w:r>
      <w:r w:rsidR="00025802">
        <w:rPr>
          <w:color w:val="545454"/>
          <w:sz w:val="17"/>
          <w:szCs w:val="17"/>
        </w:rPr>
        <w:t xml:space="preserve">%) </w:t>
      </w:r>
      <w:r w:rsidRPr="00870886">
        <w:rPr>
          <w:color w:val="545454"/>
          <w:sz w:val="17"/>
          <w:szCs w:val="17"/>
        </w:rPr>
        <w:t>que el</w:t>
      </w:r>
      <w:r w:rsidR="00ED4992">
        <w:rPr>
          <w:color w:val="545454"/>
          <w:sz w:val="17"/>
          <w:szCs w:val="17"/>
        </w:rPr>
        <w:t xml:space="preserve"> de los h</w:t>
      </w:r>
      <w:r w:rsidRPr="00870886">
        <w:rPr>
          <w:color w:val="545454"/>
          <w:sz w:val="17"/>
          <w:szCs w:val="17"/>
        </w:rPr>
        <w:t>ospitales</w:t>
      </w:r>
      <w:r w:rsidR="00D01077">
        <w:rPr>
          <w:color w:val="545454"/>
          <w:sz w:val="17"/>
          <w:szCs w:val="17"/>
        </w:rPr>
        <w:t xml:space="preserve"> públicos y concertados</w:t>
      </w:r>
      <w:r w:rsidR="0069350D">
        <w:rPr>
          <w:color w:val="545454"/>
          <w:sz w:val="17"/>
          <w:szCs w:val="17"/>
        </w:rPr>
        <w:t xml:space="preserve"> del SNS</w:t>
      </w:r>
      <w:r w:rsidRPr="00870886">
        <w:rPr>
          <w:color w:val="545454"/>
          <w:sz w:val="17"/>
          <w:szCs w:val="17"/>
        </w:rPr>
        <w:t xml:space="preserve">, </w:t>
      </w:r>
      <w:r w:rsidR="0074187C">
        <w:rPr>
          <w:color w:val="545454"/>
          <w:sz w:val="17"/>
          <w:szCs w:val="17"/>
        </w:rPr>
        <w:t>ha registrado</w:t>
      </w:r>
      <w:r w:rsidR="00870886" w:rsidRPr="00870886">
        <w:rPr>
          <w:color w:val="545454"/>
          <w:sz w:val="17"/>
          <w:szCs w:val="17"/>
        </w:rPr>
        <w:t xml:space="preserve"> un incremento del 133%</w:t>
      </w:r>
      <w:r w:rsidR="0074187C">
        <w:rPr>
          <w:color w:val="545454"/>
          <w:sz w:val="17"/>
          <w:szCs w:val="17"/>
        </w:rPr>
        <w:t xml:space="preserve"> desde 2010</w:t>
      </w:r>
      <w:r w:rsidR="00C4496D">
        <w:rPr>
          <w:color w:val="545454"/>
          <w:sz w:val="17"/>
          <w:szCs w:val="17"/>
        </w:rPr>
        <w:t xml:space="preserve">, muy superior al </w:t>
      </w:r>
      <w:r w:rsidR="006744CE">
        <w:rPr>
          <w:color w:val="545454"/>
          <w:sz w:val="17"/>
          <w:szCs w:val="17"/>
        </w:rPr>
        <w:t>aumento</w:t>
      </w:r>
      <w:r w:rsidR="00C4496D">
        <w:rPr>
          <w:color w:val="545454"/>
          <w:sz w:val="17"/>
          <w:szCs w:val="17"/>
        </w:rPr>
        <w:t xml:space="preserve"> del 20% de los centros del SNS</w:t>
      </w:r>
      <w:r w:rsidRPr="00870886">
        <w:rPr>
          <w:color w:val="545454"/>
          <w:sz w:val="17"/>
          <w:szCs w:val="17"/>
        </w:rPr>
        <w:t xml:space="preserve">. </w:t>
      </w:r>
      <w:r w:rsidR="00426BA2">
        <w:rPr>
          <w:color w:val="545454"/>
          <w:sz w:val="17"/>
          <w:szCs w:val="17"/>
        </w:rPr>
        <w:t>L</w:t>
      </w:r>
      <w:r w:rsidR="00426BA2" w:rsidRPr="00870886">
        <w:rPr>
          <w:color w:val="545454"/>
          <w:sz w:val="17"/>
          <w:szCs w:val="17"/>
        </w:rPr>
        <w:t>a actividad diagnóstica</w:t>
      </w:r>
      <w:r w:rsidR="00426BA2">
        <w:rPr>
          <w:color w:val="545454"/>
          <w:sz w:val="17"/>
          <w:szCs w:val="17"/>
        </w:rPr>
        <w:t>,</w:t>
      </w:r>
      <w:r w:rsidR="00426BA2" w:rsidRPr="00870886">
        <w:rPr>
          <w:color w:val="545454"/>
          <w:sz w:val="17"/>
          <w:szCs w:val="17"/>
        </w:rPr>
        <w:t xml:space="preserve"> como la realización de resonancias, TAC, angiografías digitales o biopsias</w:t>
      </w:r>
      <w:r w:rsidR="00426BA2">
        <w:rPr>
          <w:color w:val="545454"/>
          <w:sz w:val="17"/>
          <w:szCs w:val="17"/>
        </w:rPr>
        <w:t>, también</w:t>
      </w:r>
      <w:r w:rsidR="00426BA2" w:rsidRPr="00870886">
        <w:rPr>
          <w:color w:val="545454"/>
          <w:sz w:val="17"/>
          <w:szCs w:val="17"/>
        </w:rPr>
        <w:t xml:space="preserve"> ha </w:t>
      </w:r>
      <w:r w:rsidR="00426BA2">
        <w:rPr>
          <w:color w:val="545454"/>
          <w:sz w:val="17"/>
          <w:szCs w:val="17"/>
        </w:rPr>
        <w:t xml:space="preserve">crecido </w:t>
      </w:r>
      <w:r w:rsidR="000C189A">
        <w:rPr>
          <w:color w:val="545454"/>
          <w:sz w:val="17"/>
          <w:szCs w:val="17"/>
        </w:rPr>
        <w:t xml:space="preserve">de forma </w:t>
      </w:r>
      <w:r w:rsidR="00426BA2" w:rsidRPr="00870886">
        <w:rPr>
          <w:color w:val="545454"/>
          <w:sz w:val="17"/>
          <w:szCs w:val="17"/>
        </w:rPr>
        <w:t>más intensa en los hospitales privados que en los del SNS.</w:t>
      </w:r>
    </w:p>
    <w:p w14:paraId="250EB99D" w14:textId="77777777" w:rsidR="008A6A07" w:rsidRPr="00870886" w:rsidRDefault="00870886" w:rsidP="00426BA2">
      <w:pPr>
        <w:pBdr>
          <w:top w:val="single" w:sz="4" w:space="0" w:color="auto"/>
        </w:pBdr>
        <w:spacing w:after="0"/>
        <w:ind w:right="-7"/>
        <w:rPr>
          <w:rFonts w:eastAsia="Tahoma" w:cs="Tahoma"/>
          <w:b/>
          <w:bCs/>
          <w:color w:val="121212" w:themeColor="background2"/>
          <w:kern w:val="24"/>
          <w:szCs w:val="18"/>
        </w:rPr>
      </w:pPr>
      <w:r w:rsidRPr="00870886">
        <w:rPr>
          <w:rFonts w:eastAsia="Tahoma" w:cs="Tahoma"/>
          <w:b/>
          <w:bCs/>
          <w:color w:val="121212" w:themeColor="background2"/>
          <w:kern w:val="24"/>
          <w:szCs w:val="18"/>
        </w:rPr>
        <w:t>Tasa de variación del número de c</w:t>
      </w:r>
      <w:r w:rsidR="008A6A07" w:rsidRPr="00870886">
        <w:rPr>
          <w:rFonts w:eastAsia="Tahoma" w:cs="Tahoma"/>
          <w:b/>
          <w:bCs/>
          <w:color w:val="121212" w:themeColor="background2"/>
          <w:kern w:val="24"/>
          <w:szCs w:val="18"/>
        </w:rPr>
        <w:t xml:space="preserve">onsultas externas </w:t>
      </w:r>
      <w:r w:rsidRPr="00870886">
        <w:rPr>
          <w:rFonts w:eastAsia="Tahoma" w:cs="Tahoma"/>
          <w:b/>
          <w:bCs/>
          <w:color w:val="121212" w:themeColor="background2"/>
          <w:kern w:val="24"/>
          <w:szCs w:val="18"/>
        </w:rPr>
        <w:t xml:space="preserve">y actividad diagnóstica realizada </w:t>
      </w:r>
      <w:r w:rsidR="008A6A07" w:rsidRPr="00870886">
        <w:rPr>
          <w:rFonts w:eastAsia="Tahoma" w:cs="Tahoma"/>
          <w:b/>
          <w:bCs/>
          <w:color w:val="121212" w:themeColor="background2"/>
          <w:kern w:val="24"/>
          <w:szCs w:val="18"/>
        </w:rPr>
        <w:t>en hospitales del SNS y hospitales privados. España</w:t>
      </w:r>
      <w:r w:rsidR="0023451B">
        <w:rPr>
          <w:rFonts w:eastAsia="Tahoma" w:cs="Tahoma"/>
          <w:b/>
          <w:bCs/>
          <w:color w:val="121212" w:themeColor="background2"/>
          <w:kern w:val="24"/>
          <w:szCs w:val="18"/>
        </w:rPr>
        <w:t>,</w:t>
      </w:r>
      <w:r w:rsidR="008A6A07" w:rsidRPr="00870886">
        <w:rPr>
          <w:rFonts w:eastAsia="Tahoma" w:cs="Tahoma"/>
          <w:b/>
          <w:bCs/>
          <w:color w:val="121212" w:themeColor="background2"/>
          <w:kern w:val="24"/>
          <w:szCs w:val="18"/>
        </w:rPr>
        <w:t xml:space="preserve"> 2010-2023 </w:t>
      </w:r>
      <w:r w:rsidR="00C4496D">
        <w:rPr>
          <w:rFonts w:eastAsia="Tahoma" w:cs="Tahoma"/>
          <w:b/>
          <w:bCs/>
          <w:color w:val="121212" w:themeColor="background2"/>
          <w:kern w:val="24"/>
          <w:szCs w:val="18"/>
        </w:rPr>
        <w:t>(porcentaje)</w:t>
      </w:r>
      <w:r w:rsidR="008A6A07" w:rsidRPr="00870886">
        <w:rPr>
          <w:rFonts w:eastAsia="Tahoma" w:cs="Tahoma"/>
          <w:b/>
          <w:bCs/>
          <w:color w:val="121212" w:themeColor="background2"/>
          <w:kern w:val="24"/>
          <w:szCs w:val="18"/>
        </w:rPr>
        <w:t xml:space="preserve"> </w:t>
      </w:r>
      <w:hyperlink r:id="rId15" w:history="1">
        <w:proofErr w:type="gramStart"/>
        <w:r w:rsidR="0023451B" w:rsidRPr="004E4A44">
          <w:rPr>
            <w:rStyle w:val="Hipervnculo"/>
            <w:b/>
            <w:sz w:val="11"/>
            <w:szCs w:val="11"/>
          </w:rPr>
          <w:t>Descargar  &gt;</w:t>
        </w:r>
        <w:proofErr w:type="gramEnd"/>
      </w:hyperlink>
      <w:r w:rsidR="00980FF3" w:rsidRPr="00980FF3">
        <w:rPr>
          <w:noProof/>
        </w:rPr>
        <w:t xml:space="preserve"> </w:t>
      </w:r>
      <w:r w:rsidR="00980FF3">
        <w:rPr>
          <w:noProof/>
        </w:rPr>
        <w:drawing>
          <wp:inline distT="0" distB="0" distL="0" distR="0" wp14:anchorId="2D5C7A62" wp14:editId="4FCFC82F">
            <wp:extent cx="3235960" cy="1412240"/>
            <wp:effectExtent l="0" t="0" r="2540" b="0"/>
            <wp:docPr id="1871601567" name="Gráfico 1">
              <a:extLst xmlns:a="http://schemas.openxmlformats.org/drawingml/2006/main">
                <a:ext uri="{FF2B5EF4-FFF2-40B4-BE49-F238E27FC236}">
                  <a16:creationId xmlns:a16="http://schemas.microsoft.com/office/drawing/2014/main" id="{299DBE86-2261-4F2C-B697-09813888F9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8A6A07" w:rsidRPr="00870886">
        <w:rPr>
          <w:rFonts w:eastAsia="Tahoma" w:cs="Tahoma"/>
          <w:b/>
          <w:bCs/>
          <w:color w:val="121212" w:themeColor="background2"/>
          <w:kern w:val="24"/>
          <w:szCs w:val="18"/>
        </w:rPr>
        <w:t xml:space="preserve">       </w:t>
      </w:r>
    </w:p>
    <w:p w14:paraId="40F3950D" w14:textId="77777777" w:rsidR="00644CC0" w:rsidRPr="00983F99" w:rsidRDefault="00644CC0" w:rsidP="00644CC0">
      <w:pPr>
        <w:pBdr>
          <w:bottom w:val="single" w:sz="4" w:space="1" w:color="auto"/>
        </w:pBdr>
        <w:spacing w:after="0"/>
        <w:ind w:right="0"/>
        <w:rPr>
          <w:rFonts w:eastAsia="Tahoma" w:cs="Tahoma"/>
          <w:b/>
          <w:bCs/>
          <w:color w:val="A6A6A6" w:themeColor="background1" w:themeShade="A6"/>
          <w:kern w:val="24"/>
          <w:sz w:val="14"/>
          <w:szCs w:val="14"/>
        </w:rPr>
      </w:pPr>
      <w:r w:rsidRPr="00870886">
        <w:rPr>
          <w:rFonts w:eastAsia="Tahoma" w:cs="Tahoma"/>
          <w:b/>
          <w:bCs/>
          <w:color w:val="A6A6A6" w:themeColor="background1" w:themeShade="A6"/>
          <w:kern w:val="24"/>
          <w:sz w:val="14"/>
          <w:szCs w:val="14"/>
        </w:rPr>
        <w:t xml:space="preserve">Fuente: </w:t>
      </w:r>
      <w:r w:rsidR="008A6A07" w:rsidRPr="00870886">
        <w:rPr>
          <w:rFonts w:asciiTheme="majorHAnsi" w:eastAsia="Times New Roman" w:hAnsiTheme="majorHAnsi" w:cs="Calibri"/>
          <w:sz w:val="14"/>
          <w:szCs w:val="14"/>
        </w:rPr>
        <w:t>Sistema de Información de Atención Especializada</w:t>
      </w:r>
      <w:r w:rsidR="00870886">
        <w:rPr>
          <w:rFonts w:asciiTheme="majorHAnsi" w:eastAsia="Times New Roman" w:hAnsiTheme="majorHAnsi" w:cs="Calibri"/>
          <w:sz w:val="14"/>
          <w:szCs w:val="14"/>
        </w:rPr>
        <w:t xml:space="preserve"> (Ministerio de Sanidad)</w:t>
      </w:r>
    </w:p>
    <w:p w14:paraId="5BA9E578" w14:textId="77777777" w:rsidR="00A51081" w:rsidRDefault="00A51081" w:rsidP="00A51081">
      <w:pPr>
        <w:widowControl/>
        <w:spacing w:before="120"/>
        <w:ind w:right="0"/>
        <w:rPr>
          <w:color w:val="545454"/>
          <w:sz w:val="17"/>
          <w:szCs w:val="17"/>
        </w:rPr>
      </w:pPr>
      <w:r>
        <w:rPr>
          <w:color w:val="545454"/>
          <w:sz w:val="17"/>
          <w:szCs w:val="17"/>
        </w:rPr>
        <w:t>La desigualdad en el</w:t>
      </w:r>
      <w:r w:rsidRPr="00963C56">
        <w:rPr>
          <w:color w:val="545454"/>
          <w:sz w:val="17"/>
          <w:szCs w:val="17"/>
        </w:rPr>
        <w:t xml:space="preserve"> gasto </w:t>
      </w:r>
      <w:r>
        <w:rPr>
          <w:color w:val="545454"/>
          <w:sz w:val="17"/>
          <w:szCs w:val="17"/>
        </w:rPr>
        <w:t xml:space="preserve">privado </w:t>
      </w:r>
      <w:r w:rsidRPr="00963C56">
        <w:rPr>
          <w:color w:val="545454"/>
          <w:sz w:val="17"/>
          <w:szCs w:val="17"/>
        </w:rPr>
        <w:t xml:space="preserve">en salud </w:t>
      </w:r>
      <w:r>
        <w:rPr>
          <w:color w:val="545454"/>
          <w:sz w:val="17"/>
          <w:szCs w:val="17"/>
        </w:rPr>
        <w:t xml:space="preserve">está muy marcada por las diferencias en los niveles de renta de </w:t>
      </w:r>
      <w:r w:rsidR="00FA5C46">
        <w:rPr>
          <w:color w:val="545454"/>
          <w:sz w:val="17"/>
          <w:szCs w:val="17"/>
        </w:rPr>
        <w:t xml:space="preserve">los hogares en los </w:t>
      </w:r>
      <w:proofErr w:type="gramStart"/>
      <w:r w:rsidR="00FA5C46">
        <w:rPr>
          <w:color w:val="545454"/>
          <w:sz w:val="17"/>
          <w:szCs w:val="17"/>
        </w:rPr>
        <w:t>que</w:t>
      </w:r>
      <w:r w:rsidR="00A02A49">
        <w:rPr>
          <w:color w:val="545454"/>
          <w:sz w:val="17"/>
          <w:szCs w:val="17"/>
        </w:rPr>
        <w:t xml:space="preserve"> </w:t>
      </w:r>
      <w:r w:rsidR="00FA5C46">
        <w:rPr>
          <w:color w:val="545454"/>
          <w:sz w:val="17"/>
          <w:szCs w:val="17"/>
        </w:rPr>
        <w:t xml:space="preserve"> reside</w:t>
      </w:r>
      <w:r w:rsidR="0078182D">
        <w:rPr>
          <w:color w:val="545454"/>
          <w:sz w:val="17"/>
          <w:szCs w:val="17"/>
        </w:rPr>
        <w:t>n</w:t>
      </w:r>
      <w:proofErr w:type="gramEnd"/>
      <w:r w:rsidR="0078182D">
        <w:rPr>
          <w:color w:val="545454"/>
          <w:sz w:val="17"/>
          <w:szCs w:val="17"/>
        </w:rPr>
        <w:t xml:space="preserve"> las personas</w:t>
      </w:r>
      <w:r>
        <w:rPr>
          <w:color w:val="545454"/>
          <w:sz w:val="17"/>
          <w:szCs w:val="17"/>
        </w:rPr>
        <w:t xml:space="preserve">. Las que viven en hogares con mayores ingresos -agrupados </w:t>
      </w:r>
      <w:r w:rsidRPr="00963C56">
        <w:rPr>
          <w:color w:val="545454"/>
          <w:sz w:val="17"/>
          <w:szCs w:val="17"/>
        </w:rPr>
        <w:t xml:space="preserve">en el tercer </w:t>
      </w:r>
      <w:proofErr w:type="spellStart"/>
      <w:r w:rsidRPr="00963C56">
        <w:rPr>
          <w:color w:val="545454"/>
          <w:sz w:val="17"/>
          <w:szCs w:val="17"/>
        </w:rPr>
        <w:t>tercil</w:t>
      </w:r>
      <w:proofErr w:type="spellEnd"/>
      <w:r w:rsidRPr="00963C56">
        <w:rPr>
          <w:color w:val="545454"/>
          <w:sz w:val="17"/>
          <w:szCs w:val="17"/>
        </w:rPr>
        <w:t xml:space="preserve"> </w:t>
      </w:r>
      <w:r>
        <w:rPr>
          <w:color w:val="545454"/>
          <w:sz w:val="17"/>
          <w:szCs w:val="17"/>
        </w:rPr>
        <w:t xml:space="preserve">de renta- gastaron en salud </w:t>
      </w:r>
      <w:r w:rsidR="0078182D">
        <w:rPr>
          <w:color w:val="545454"/>
          <w:sz w:val="17"/>
          <w:szCs w:val="17"/>
        </w:rPr>
        <w:t xml:space="preserve">en 2023 </w:t>
      </w:r>
      <w:r>
        <w:rPr>
          <w:color w:val="545454"/>
          <w:sz w:val="17"/>
          <w:szCs w:val="17"/>
        </w:rPr>
        <w:t>938</w:t>
      </w:r>
      <w:r w:rsidRPr="00963C56">
        <w:rPr>
          <w:color w:val="545454"/>
          <w:sz w:val="17"/>
          <w:szCs w:val="17"/>
        </w:rPr>
        <w:t xml:space="preserve"> euros</w:t>
      </w:r>
      <w:r>
        <w:rPr>
          <w:color w:val="545454"/>
          <w:sz w:val="17"/>
          <w:szCs w:val="17"/>
        </w:rPr>
        <w:t xml:space="preserve"> en promedio,</w:t>
      </w:r>
      <w:r w:rsidRPr="00963C56">
        <w:rPr>
          <w:color w:val="545454"/>
          <w:sz w:val="17"/>
          <w:szCs w:val="17"/>
        </w:rPr>
        <w:t xml:space="preserve"> </w:t>
      </w:r>
      <w:r>
        <w:rPr>
          <w:color w:val="545454"/>
          <w:sz w:val="17"/>
          <w:szCs w:val="17"/>
        </w:rPr>
        <w:t>casi cuatro</w:t>
      </w:r>
      <w:r w:rsidRPr="00963C56">
        <w:rPr>
          <w:color w:val="545454"/>
          <w:sz w:val="17"/>
          <w:szCs w:val="17"/>
        </w:rPr>
        <w:t xml:space="preserve"> veces</w:t>
      </w:r>
      <w:r>
        <w:rPr>
          <w:color w:val="545454"/>
          <w:sz w:val="17"/>
          <w:szCs w:val="17"/>
        </w:rPr>
        <w:t xml:space="preserve"> más que</w:t>
      </w:r>
      <w:r w:rsidRPr="00963C56">
        <w:rPr>
          <w:color w:val="545454"/>
          <w:sz w:val="17"/>
          <w:szCs w:val="17"/>
        </w:rPr>
        <w:t xml:space="preserve"> las </w:t>
      </w:r>
      <w:r>
        <w:rPr>
          <w:color w:val="545454"/>
          <w:sz w:val="17"/>
          <w:szCs w:val="17"/>
        </w:rPr>
        <w:t xml:space="preserve">que pertenecen a familias </w:t>
      </w:r>
      <w:r w:rsidRPr="00963C56">
        <w:rPr>
          <w:color w:val="545454"/>
          <w:sz w:val="17"/>
          <w:szCs w:val="17"/>
        </w:rPr>
        <w:t xml:space="preserve">del primer </w:t>
      </w:r>
      <w:proofErr w:type="spellStart"/>
      <w:r w:rsidRPr="00963C56">
        <w:rPr>
          <w:color w:val="545454"/>
          <w:sz w:val="17"/>
          <w:szCs w:val="17"/>
        </w:rPr>
        <w:t>tercil</w:t>
      </w:r>
      <w:proofErr w:type="spellEnd"/>
      <w:r w:rsidRPr="00963C56">
        <w:rPr>
          <w:color w:val="545454"/>
          <w:sz w:val="17"/>
          <w:szCs w:val="17"/>
        </w:rPr>
        <w:t xml:space="preserve"> </w:t>
      </w:r>
      <w:r>
        <w:rPr>
          <w:color w:val="545454"/>
          <w:sz w:val="17"/>
          <w:szCs w:val="17"/>
        </w:rPr>
        <w:t xml:space="preserve">de renta </w:t>
      </w:r>
      <w:r w:rsidRPr="00963C56">
        <w:rPr>
          <w:color w:val="545454"/>
          <w:sz w:val="17"/>
          <w:szCs w:val="17"/>
        </w:rPr>
        <w:t>(</w:t>
      </w:r>
      <w:r w:rsidR="0078182D">
        <w:rPr>
          <w:color w:val="545454"/>
          <w:sz w:val="17"/>
          <w:szCs w:val="17"/>
        </w:rPr>
        <w:t xml:space="preserve">los </w:t>
      </w:r>
      <w:r w:rsidR="007846E2">
        <w:rPr>
          <w:color w:val="545454"/>
          <w:sz w:val="17"/>
          <w:szCs w:val="17"/>
        </w:rPr>
        <w:t>niveles más bajos</w:t>
      </w:r>
      <w:r w:rsidR="0078182D">
        <w:rPr>
          <w:color w:val="545454"/>
          <w:sz w:val="17"/>
          <w:szCs w:val="17"/>
        </w:rPr>
        <w:t xml:space="preserve"> de ingresos</w:t>
      </w:r>
      <w:r w:rsidRPr="00963C56">
        <w:rPr>
          <w:color w:val="545454"/>
          <w:sz w:val="17"/>
          <w:szCs w:val="17"/>
        </w:rPr>
        <w:t xml:space="preserve">) que </w:t>
      </w:r>
      <w:r>
        <w:rPr>
          <w:color w:val="545454"/>
          <w:sz w:val="17"/>
          <w:szCs w:val="17"/>
        </w:rPr>
        <w:t>solo gastaron 265</w:t>
      </w:r>
      <w:r w:rsidRPr="00963C56">
        <w:rPr>
          <w:color w:val="545454"/>
          <w:sz w:val="17"/>
          <w:szCs w:val="17"/>
        </w:rPr>
        <w:t xml:space="preserve"> euros. </w:t>
      </w:r>
      <w:r>
        <w:rPr>
          <w:color w:val="545454"/>
          <w:sz w:val="17"/>
          <w:szCs w:val="17"/>
        </w:rPr>
        <w:t>L</w:t>
      </w:r>
      <w:r w:rsidRPr="00963C56">
        <w:rPr>
          <w:color w:val="545454"/>
          <w:sz w:val="17"/>
          <w:szCs w:val="17"/>
        </w:rPr>
        <w:t xml:space="preserve">as </w:t>
      </w:r>
      <w:r>
        <w:rPr>
          <w:color w:val="545454"/>
          <w:sz w:val="17"/>
          <w:szCs w:val="17"/>
        </w:rPr>
        <w:t>personas</w:t>
      </w:r>
      <w:r w:rsidRPr="00963C56">
        <w:rPr>
          <w:color w:val="545454"/>
          <w:sz w:val="17"/>
          <w:szCs w:val="17"/>
        </w:rPr>
        <w:t xml:space="preserve"> </w:t>
      </w:r>
      <w:r w:rsidR="00FA5C46">
        <w:rPr>
          <w:color w:val="545454"/>
          <w:sz w:val="17"/>
          <w:szCs w:val="17"/>
        </w:rPr>
        <w:t xml:space="preserve">en hogares </w:t>
      </w:r>
      <w:r w:rsidRPr="00963C56">
        <w:rPr>
          <w:color w:val="545454"/>
          <w:sz w:val="17"/>
          <w:szCs w:val="17"/>
        </w:rPr>
        <w:t>con mayor</w:t>
      </w:r>
      <w:r w:rsidR="001A4B18">
        <w:rPr>
          <w:color w:val="545454"/>
          <w:sz w:val="17"/>
          <w:szCs w:val="17"/>
        </w:rPr>
        <w:t>es</w:t>
      </w:r>
      <w:r w:rsidRPr="00963C56">
        <w:rPr>
          <w:color w:val="545454"/>
          <w:sz w:val="17"/>
          <w:szCs w:val="17"/>
        </w:rPr>
        <w:t xml:space="preserve"> </w:t>
      </w:r>
      <w:r w:rsidR="001A4B18">
        <w:rPr>
          <w:color w:val="545454"/>
          <w:sz w:val="17"/>
          <w:szCs w:val="17"/>
        </w:rPr>
        <w:t>ingresos</w:t>
      </w:r>
      <w:r w:rsidR="001A4B18" w:rsidRPr="00963C56">
        <w:rPr>
          <w:color w:val="545454"/>
          <w:sz w:val="17"/>
          <w:szCs w:val="17"/>
        </w:rPr>
        <w:t xml:space="preserve"> </w:t>
      </w:r>
      <w:r w:rsidRPr="00963C56">
        <w:rPr>
          <w:color w:val="545454"/>
          <w:sz w:val="17"/>
          <w:szCs w:val="17"/>
        </w:rPr>
        <w:t>gastan más en todas las funciones</w:t>
      </w:r>
      <w:r>
        <w:rPr>
          <w:color w:val="545454"/>
          <w:sz w:val="17"/>
          <w:szCs w:val="17"/>
        </w:rPr>
        <w:t xml:space="preserve">, pero sobre todo en algunas: </w:t>
      </w:r>
      <w:r w:rsidRPr="00963C56">
        <w:rPr>
          <w:color w:val="545454"/>
          <w:sz w:val="17"/>
          <w:szCs w:val="17"/>
        </w:rPr>
        <w:t xml:space="preserve">destinan </w:t>
      </w:r>
      <w:r>
        <w:rPr>
          <w:color w:val="545454"/>
          <w:sz w:val="17"/>
          <w:szCs w:val="17"/>
        </w:rPr>
        <w:t>8</w:t>
      </w:r>
      <w:r w:rsidRPr="00963C56">
        <w:rPr>
          <w:color w:val="545454"/>
          <w:sz w:val="17"/>
          <w:szCs w:val="17"/>
        </w:rPr>
        <w:t xml:space="preserve"> veces más a servicios médicos</w:t>
      </w:r>
      <w:r>
        <w:rPr>
          <w:color w:val="545454"/>
          <w:sz w:val="17"/>
          <w:szCs w:val="17"/>
        </w:rPr>
        <w:t xml:space="preserve"> y</w:t>
      </w:r>
      <w:r w:rsidRPr="00963C56">
        <w:rPr>
          <w:color w:val="545454"/>
          <w:sz w:val="17"/>
          <w:szCs w:val="17"/>
        </w:rPr>
        <w:t xml:space="preserve"> hospitalarios (</w:t>
      </w:r>
      <w:r>
        <w:rPr>
          <w:color w:val="545454"/>
          <w:sz w:val="17"/>
          <w:szCs w:val="17"/>
        </w:rPr>
        <w:t>127</w:t>
      </w:r>
      <w:r w:rsidRPr="00963C56">
        <w:rPr>
          <w:color w:val="545454"/>
          <w:sz w:val="17"/>
          <w:szCs w:val="17"/>
        </w:rPr>
        <w:t xml:space="preserve"> euros vs. </w:t>
      </w:r>
      <w:r>
        <w:rPr>
          <w:color w:val="545454"/>
          <w:sz w:val="17"/>
          <w:szCs w:val="17"/>
        </w:rPr>
        <w:t>16</w:t>
      </w:r>
      <w:r w:rsidRPr="00963C56">
        <w:rPr>
          <w:color w:val="545454"/>
          <w:sz w:val="17"/>
          <w:szCs w:val="17"/>
        </w:rPr>
        <w:t xml:space="preserve"> euros)</w:t>
      </w:r>
      <w:r>
        <w:rPr>
          <w:color w:val="545454"/>
          <w:sz w:val="17"/>
          <w:szCs w:val="17"/>
        </w:rPr>
        <w:t>, y 5</w:t>
      </w:r>
      <w:r w:rsidRPr="00963C56">
        <w:rPr>
          <w:color w:val="545454"/>
          <w:sz w:val="17"/>
          <w:szCs w:val="17"/>
        </w:rPr>
        <w:t xml:space="preserve"> veces más a seguros relacionados con la salud (</w:t>
      </w:r>
      <w:r>
        <w:rPr>
          <w:color w:val="545454"/>
          <w:sz w:val="17"/>
          <w:szCs w:val="17"/>
        </w:rPr>
        <w:t>213</w:t>
      </w:r>
      <w:r w:rsidRPr="00963C56">
        <w:rPr>
          <w:color w:val="545454"/>
          <w:sz w:val="17"/>
          <w:szCs w:val="17"/>
        </w:rPr>
        <w:t xml:space="preserve"> euros vs. </w:t>
      </w:r>
      <w:r>
        <w:rPr>
          <w:color w:val="545454"/>
          <w:sz w:val="17"/>
          <w:szCs w:val="17"/>
        </w:rPr>
        <w:t>42 euros</w:t>
      </w:r>
      <w:r w:rsidRPr="00963C56">
        <w:rPr>
          <w:color w:val="545454"/>
          <w:sz w:val="17"/>
          <w:szCs w:val="17"/>
        </w:rPr>
        <w:t>)</w:t>
      </w:r>
      <w:r>
        <w:rPr>
          <w:color w:val="545454"/>
          <w:sz w:val="17"/>
          <w:szCs w:val="17"/>
        </w:rPr>
        <w:t>. Gastan 3,3</w:t>
      </w:r>
      <w:r w:rsidRPr="00963C56">
        <w:rPr>
          <w:color w:val="545454"/>
          <w:sz w:val="17"/>
          <w:szCs w:val="17"/>
        </w:rPr>
        <w:t xml:space="preserve"> veces más </w:t>
      </w:r>
      <w:r>
        <w:rPr>
          <w:color w:val="545454"/>
          <w:sz w:val="17"/>
          <w:szCs w:val="17"/>
        </w:rPr>
        <w:t>en</w:t>
      </w:r>
      <w:r w:rsidRPr="00963C56">
        <w:rPr>
          <w:color w:val="545454"/>
          <w:sz w:val="17"/>
          <w:szCs w:val="17"/>
        </w:rPr>
        <w:t xml:space="preserve"> servicios médicos auxiliares (</w:t>
      </w:r>
      <w:r>
        <w:rPr>
          <w:color w:val="545454"/>
          <w:sz w:val="17"/>
          <w:szCs w:val="17"/>
        </w:rPr>
        <w:t>67</w:t>
      </w:r>
      <w:r w:rsidRPr="00963C56">
        <w:rPr>
          <w:color w:val="545454"/>
          <w:sz w:val="17"/>
          <w:szCs w:val="17"/>
        </w:rPr>
        <w:t xml:space="preserve"> euros vs. </w:t>
      </w:r>
      <w:r>
        <w:rPr>
          <w:color w:val="545454"/>
          <w:sz w:val="17"/>
          <w:szCs w:val="17"/>
        </w:rPr>
        <w:t>20</w:t>
      </w:r>
      <w:r w:rsidRPr="00963C56">
        <w:rPr>
          <w:color w:val="545454"/>
          <w:sz w:val="17"/>
          <w:szCs w:val="17"/>
        </w:rPr>
        <w:t xml:space="preserve"> euros)</w:t>
      </w:r>
      <w:r>
        <w:rPr>
          <w:color w:val="545454"/>
          <w:sz w:val="17"/>
          <w:szCs w:val="17"/>
        </w:rPr>
        <w:t xml:space="preserve"> y entre 2,8 y 2,4 veces en </w:t>
      </w:r>
      <w:r w:rsidRPr="00963C56">
        <w:rPr>
          <w:color w:val="545454"/>
          <w:sz w:val="17"/>
          <w:szCs w:val="17"/>
        </w:rPr>
        <w:t>productos farmacéuticos</w:t>
      </w:r>
      <w:r>
        <w:rPr>
          <w:color w:val="545454"/>
          <w:sz w:val="17"/>
          <w:szCs w:val="17"/>
        </w:rPr>
        <w:t xml:space="preserve">, </w:t>
      </w:r>
      <w:r w:rsidRPr="00963C56">
        <w:rPr>
          <w:color w:val="545454"/>
          <w:sz w:val="17"/>
          <w:szCs w:val="17"/>
        </w:rPr>
        <w:t>aparatos y equipos terapéuticos como gafas graduadas o audífonos</w:t>
      </w:r>
      <w:r>
        <w:rPr>
          <w:color w:val="545454"/>
          <w:sz w:val="17"/>
          <w:szCs w:val="17"/>
        </w:rPr>
        <w:t xml:space="preserve">, y </w:t>
      </w:r>
      <w:r w:rsidRPr="00963C56">
        <w:rPr>
          <w:color w:val="545454"/>
          <w:sz w:val="17"/>
          <w:szCs w:val="17"/>
        </w:rPr>
        <w:t>servicios dentales.</w:t>
      </w:r>
      <w:r>
        <w:rPr>
          <w:color w:val="545454"/>
          <w:sz w:val="17"/>
          <w:szCs w:val="17"/>
        </w:rPr>
        <w:t xml:space="preserve"> Su gasto farmacéutico también es mayor</w:t>
      </w:r>
      <w:r w:rsidR="009B4EB8">
        <w:rPr>
          <w:color w:val="545454"/>
          <w:sz w:val="17"/>
          <w:szCs w:val="17"/>
        </w:rPr>
        <w:t>,</w:t>
      </w:r>
      <w:r>
        <w:rPr>
          <w:color w:val="545454"/>
          <w:sz w:val="17"/>
          <w:szCs w:val="17"/>
        </w:rPr>
        <w:t xml:space="preserve"> porque asumen </w:t>
      </w:r>
      <w:r w:rsidRPr="00650C52">
        <w:rPr>
          <w:color w:val="545454"/>
          <w:sz w:val="17"/>
          <w:szCs w:val="17"/>
        </w:rPr>
        <w:t>un porcentaje más alto de</w:t>
      </w:r>
      <w:r>
        <w:rPr>
          <w:color w:val="545454"/>
          <w:sz w:val="17"/>
          <w:szCs w:val="17"/>
        </w:rPr>
        <w:t xml:space="preserve"> </w:t>
      </w:r>
      <w:r w:rsidRPr="00650C52">
        <w:rPr>
          <w:color w:val="545454"/>
          <w:sz w:val="17"/>
          <w:szCs w:val="17"/>
        </w:rPr>
        <w:t xml:space="preserve">copago </w:t>
      </w:r>
      <w:r>
        <w:rPr>
          <w:color w:val="545454"/>
          <w:sz w:val="17"/>
          <w:szCs w:val="17"/>
        </w:rPr>
        <w:t>de los medicamentos.</w:t>
      </w:r>
    </w:p>
    <w:p w14:paraId="1FD50CF4" w14:textId="77777777" w:rsidR="007C7F6A" w:rsidRPr="00D664F7" w:rsidRDefault="002E4A6F" w:rsidP="002E4A6F">
      <w:pPr>
        <w:pStyle w:val="destacado"/>
      </w:pPr>
      <w:r w:rsidRPr="002E4A6F">
        <w:t>Las personas que viven en hogares con mayor nivel de renta gastan de media casi cuatro veces más en salud que las que viven en hogares con menores ingresos</w:t>
      </w:r>
      <w:r w:rsidRPr="001A370D">
        <w:t xml:space="preserve">. </w:t>
      </w:r>
    </w:p>
    <w:p w14:paraId="4B5EB6BF" w14:textId="77777777" w:rsidR="00FA5C46" w:rsidRDefault="00FA5C46" w:rsidP="002E4A6F">
      <w:pPr>
        <w:pBdr>
          <w:top w:val="single" w:sz="4" w:space="1" w:color="auto"/>
          <w:bottom w:val="single" w:sz="4" w:space="1" w:color="auto"/>
        </w:pBdr>
        <w:spacing w:before="240" w:after="40"/>
        <w:ind w:right="0"/>
        <w:rPr>
          <w:rFonts w:eastAsia="Tahoma" w:cs="Tahoma"/>
          <w:b/>
          <w:bCs/>
          <w:color w:val="121212" w:themeColor="background2"/>
          <w:kern w:val="24"/>
          <w:szCs w:val="18"/>
        </w:rPr>
      </w:pPr>
      <w:r>
        <w:rPr>
          <w:rFonts w:eastAsia="Tahoma" w:cs="Tahoma"/>
          <w:b/>
          <w:bCs/>
          <w:color w:val="121212" w:themeColor="background2"/>
          <w:kern w:val="24"/>
          <w:szCs w:val="18"/>
        </w:rPr>
        <w:t xml:space="preserve">Gasto medio en salud por persona según </w:t>
      </w:r>
      <w:proofErr w:type="spellStart"/>
      <w:r>
        <w:rPr>
          <w:rFonts w:eastAsia="Tahoma" w:cs="Tahoma"/>
          <w:b/>
          <w:bCs/>
          <w:color w:val="121212" w:themeColor="background2"/>
          <w:kern w:val="24"/>
          <w:szCs w:val="18"/>
        </w:rPr>
        <w:t>tercil</w:t>
      </w:r>
      <w:proofErr w:type="spellEnd"/>
      <w:r>
        <w:rPr>
          <w:rFonts w:eastAsia="Tahoma" w:cs="Tahoma"/>
          <w:b/>
          <w:bCs/>
          <w:color w:val="121212" w:themeColor="background2"/>
          <w:kern w:val="24"/>
          <w:szCs w:val="18"/>
        </w:rPr>
        <w:t xml:space="preserve"> de renta de las familias y función de gasto. España 2023 (</w:t>
      </w:r>
      <w:proofErr w:type="gramStart"/>
      <w:r>
        <w:rPr>
          <w:rFonts w:eastAsia="Tahoma" w:cs="Tahoma"/>
          <w:b/>
          <w:bCs/>
          <w:color w:val="121212" w:themeColor="background2"/>
          <w:kern w:val="24"/>
          <w:szCs w:val="18"/>
        </w:rPr>
        <w:t xml:space="preserve">euros)   </w:t>
      </w:r>
      <w:proofErr w:type="gramEnd"/>
      <w:r>
        <w:rPr>
          <w:rFonts w:eastAsia="Tahoma" w:cs="Tahoma"/>
          <w:b/>
          <w:bCs/>
          <w:color w:val="121212" w:themeColor="background2"/>
          <w:kern w:val="24"/>
          <w:szCs w:val="18"/>
        </w:rPr>
        <w:t xml:space="preserve">                 </w:t>
      </w:r>
      <w:hyperlink r:id="rId17" w:history="1">
        <w:proofErr w:type="gramStart"/>
        <w:r w:rsidRPr="00776490">
          <w:rPr>
            <w:rStyle w:val="Hipervnculo"/>
            <w:b/>
            <w:sz w:val="14"/>
            <w:szCs w:val="14"/>
          </w:rPr>
          <w:t>Descargar  &gt;</w:t>
        </w:r>
        <w:proofErr w:type="gramEnd"/>
      </w:hyperlink>
    </w:p>
    <w:p w14:paraId="0B958984" w14:textId="77777777" w:rsidR="00FA5C46" w:rsidRDefault="00C70B1C" w:rsidP="00FA5C46">
      <w:pPr>
        <w:pBdr>
          <w:top w:val="single" w:sz="4" w:space="1" w:color="auto"/>
          <w:bottom w:val="single" w:sz="4" w:space="1" w:color="auto"/>
        </w:pBdr>
        <w:spacing w:after="0"/>
        <w:ind w:right="0"/>
        <w:rPr>
          <w:color w:val="545454"/>
          <w:sz w:val="17"/>
          <w:szCs w:val="17"/>
        </w:rPr>
      </w:pPr>
      <w:r w:rsidRPr="00C70B1C">
        <w:rPr>
          <w:noProof/>
        </w:rPr>
        <w:drawing>
          <wp:inline distT="0" distB="0" distL="0" distR="0" wp14:anchorId="713F90F5" wp14:editId="2EA8F7B3">
            <wp:extent cx="3388329" cy="1868567"/>
            <wp:effectExtent l="0" t="0" r="0" b="0"/>
            <wp:docPr id="108335519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8">
                      <a:extLst>
                        <a:ext uri="{28A0092B-C50C-407E-A947-70E740481C1C}">
                          <a14:useLocalDpi xmlns:a14="http://schemas.microsoft.com/office/drawing/2010/main" val="0"/>
                        </a:ext>
                      </a:extLst>
                    </a:blip>
                    <a:srcRect l="10576" r="13319" b="10322"/>
                    <a:stretch/>
                  </pic:blipFill>
                  <pic:spPr bwMode="auto">
                    <a:xfrm>
                      <a:off x="0" y="0"/>
                      <a:ext cx="3406965" cy="1878844"/>
                    </a:xfrm>
                    <a:prstGeom prst="rect">
                      <a:avLst/>
                    </a:prstGeom>
                    <a:noFill/>
                    <a:ln>
                      <a:noFill/>
                    </a:ln>
                    <a:extLst>
                      <a:ext uri="{53640926-AAD7-44D8-BBD7-CCE9431645EC}">
                        <a14:shadowObscured xmlns:a14="http://schemas.microsoft.com/office/drawing/2010/main"/>
                      </a:ext>
                    </a:extLst>
                  </pic:spPr>
                </pic:pic>
              </a:graphicData>
            </a:graphic>
          </wp:inline>
        </w:drawing>
      </w:r>
    </w:p>
    <w:p w14:paraId="02C9556A" w14:textId="77777777" w:rsidR="00FA5C46" w:rsidRDefault="00FA5C46" w:rsidP="00FA5C46">
      <w:pPr>
        <w:pBdr>
          <w:top w:val="single" w:sz="4" w:space="1" w:color="auto"/>
          <w:bottom w:val="single" w:sz="4" w:space="1" w:color="auto"/>
        </w:pBdr>
        <w:spacing w:after="0"/>
        <w:ind w:right="0"/>
        <w:rPr>
          <w:rFonts w:asciiTheme="majorHAnsi" w:eastAsia="Times New Roman" w:hAnsiTheme="majorHAnsi" w:cs="Calibri"/>
          <w:sz w:val="14"/>
          <w:szCs w:val="14"/>
        </w:rPr>
      </w:pPr>
      <w:r>
        <w:rPr>
          <w:rFonts w:asciiTheme="majorHAnsi" w:eastAsia="Times New Roman" w:hAnsiTheme="majorHAnsi" w:cs="Calibri"/>
          <w:sz w:val="14"/>
          <w:szCs w:val="14"/>
        </w:rPr>
        <w:t>Nota: Se ha considerado el gasto total de las familias como proxy del nivel de renta.</w:t>
      </w:r>
    </w:p>
    <w:p w14:paraId="00DE696D" w14:textId="77777777" w:rsidR="00FA5C46" w:rsidRPr="009B5985" w:rsidRDefault="00FA5C46" w:rsidP="00FA5C46">
      <w:pPr>
        <w:pBdr>
          <w:top w:val="single" w:sz="4" w:space="1" w:color="auto"/>
          <w:bottom w:val="single" w:sz="4" w:space="1" w:color="auto"/>
        </w:pBdr>
        <w:spacing w:after="0"/>
        <w:ind w:right="0"/>
        <w:rPr>
          <w:rFonts w:asciiTheme="majorHAnsi" w:eastAsia="Times New Roman" w:hAnsiTheme="majorHAnsi" w:cs="Calibri"/>
          <w:sz w:val="14"/>
          <w:szCs w:val="14"/>
        </w:rPr>
      </w:pPr>
      <w:r w:rsidRPr="009B5985">
        <w:rPr>
          <w:rFonts w:asciiTheme="majorHAnsi" w:eastAsia="Times New Roman" w:hAnsiTheme="majorHAnsi" w:cs="Calibri"/>
          <w:sz w:val="14"/>
          <w:szCs w:val="14"/>
        </w:rPr>
        <w:t xml:space="preserve">Fuente: </w:t>
      </w:r>
      <w:r>
        <w:rPr>
          <w:rFonts w:asciiTheme="majorHAnsi" w:eastAsia="Times New Roman" w:hAnsiTheme="majorHAnsi" w:cs="Calibri"/>
          <w:sz w:val="14"/>
          <w:szCs w:val="14"/>
        </w:rPr>
        <w:t>Encuesta de Presupuestos Familiares</w:t>
      </w:r>
      <w:r w:rsidRPr="009B5985">
        <w:rPr>
          <w:rFonts w:asciiTheme="majorHAnsi" w:eastAsia="Times New Roman" w:hAnsiTheme="majorHAnsi" w:cs="Calibri"/>
          <w:sz w:val="14"/>
          <w:szCs w:val="14"/>
        </w:rPr>
        <w:t xml:space="preserve"> (INE)</w:t>
      </w:r>
    </w:p>
    <w:p w14:paraId="6F7F2AA0" w14:textId="77777777" w:rsidR="00870886" w:rsidRDefault="00867989" w:rsidP="003E757C">
      <w:pPr>
        <w:widowControl/>
        <w:spacing w:before="120"/>
        <w:ind w:right="0"/>
        <w:rPr>
          <w:color w:val="545454"/>
          <w:sz w:val="17"/>
          <w:szCs w:val="17"/>
        </w:rPr>
      </w:pPr>
      <w:r>
        <w:rPr>
          <w:color w:val="545454"/>
          <w:sz w:val="17"/>
          <w:szCs w:val="17"/>
        </w:rPr>
        <w:t>Las diferencias de gasto sanitario en función de los niveles de renta se acentúan e</w:t>
      </w:r>
      <w:r w:rsidR="003E757C" w:rsidRPr="00756D5C">
        <w:rPr>
          <w:color w:val="545454"/>
          <w:sz w:val="17"/>
          <w:szCs w:val="17"/>
        </w:rPr>
        <w:t>n el uso de los servicios</w:t>
      </w:r>
      <w:r w:rsidR="00BA7DEB">
        <w:rPr>
          <w:color w:val="545454"/>
          <w:sz w:val="17"/>
          <w:szCs w:val="17"/>
        </w:rPr>
        <w:t xml:space="preserve"> cuyo acceso </w:t>
      </w:r>
      <w:r w:rsidR="003E757C" w:rsidRPr="00756D5C">
        <w:rPr>
          <w:color w:val="545454"/>
          <w:sz w:val="17"/>
          <w:szCs w:val="17"/>
        </w:rPr>
        <w:t>depende</w:t>
      </w:r>
      <w:r w:rsidR="009B4EB8">
        <w:rPr>
          <w:color w:val="545454"/>
          <w:sz w:val="17"/>
          <w:szCs w:val="17"/>
        </w:rPr>
        <w:t>,</w:t>
      </w:r>
      <w:r w:rsidR="00BA7DEB">
        <w:rPr>
          <w:color w:val="545454"/>
          <w:sz w:val="17"/>
          <w:szCs w:val="17"/>
        </w:rPr>
        <w:t xml:space="preserve"> sustancial o </w:t>
      </w:r>
      <w:r w:rsidR="009E18CE">
        <w:rPr>
          <w:color w:val="545454"/>
          <w:sz w:val="17"/>
          <w:szCs w:val="17"/>
        </w:rPr>
        <w:t>únicamente</w:t>
      </w:r>
      <w:r w:rsidR="009B4EB8">
        <w:rPr>
          <w:color w:val="545454"/>
          <w:sz w:val="17"/>
          <w:szCs w:val="17"/>
        </w:rPr>
        <w:t>,</w:t>
      </w:r>
      <w:r>
        <w:rPr>
          <w:color w:val="545454"/>
          <w:sz w:val="17"/>
          <w:szCs w:val="17"/>
        </w:rPr>
        <w:t xml:space="preserve"> </w:t>
      </w:r>
      <w:r w:rsidR="003E757C" w:rsidRPr="00756D5C">
        <w:rPr>
          <w:color w:val="545454"/>
          <w:sz w:val="17"/>
          <w:szCs w:val="17"/>
        </w:rPr>
        <w:t>de la financiación privada</w:t>
      </w:r>
      <w:r w:rsidR="00C4496D">
        <w:rPr>
          <w:color w:val="545454"/>
          <w:sz w:val="17"/>
          <w:szCs w:val="17"/>
        </w:rPr>
        <w:t>. A</w:t>
      </w:r>
      <w:r>
        <w:rPr>
          <w:color w:val="545454"/>
          <w:sz w:val="17"/>
          <w:szCs w:val="17"/>
        </w:rPr>
        <w:t>unque l</w:t>
      </w:r>
      <w:r w:rsidR="00DE1DA3" w:rsidRPr="00756D5C">
        <w:rPr>
          <w:color w:val="545454"/>
          <w:sz w:val="17"/>
          <w:szCs w:val="17"/>
        </w:rPr>
        <w:t xml:space="preserve">a cobertura de la cartera de servicios del SNS es muy amplia, deja fuera </w:t>
      </w:r>
      <w:r w:rsidR="00631129">
        <w:rPr>
          <w:color w:val="545454"/>
          <w:sz w:val="17"/>
          <w:szCs w:val="17"/>
        </w:rPr>
        <w:t xml:space="preserve">en la práctica </w:t>
      </w:r>
      <w:r w:rsidR="00DE1DA3">
        <w:rPr>
          <w:color w:val="545454"/>
          <w:sz w:val="17"/>
          <w:szCs w:val="17"/>
        </w:rPr>
        <w:t xml:space="preserve">determinadas prestaciones </w:t>
      </w:r>
      <w:r w:rsidR="00DE1DA3" w:rsidRPr="00756D5C">
        <w:rPr>
          <w:color w:val="545454"/>
          <w:sz w:val="17"/>
          <w:szCs w:val="17"/>
        </w:rPr>
        <w:t>en salud bucodental, rehabilitación y fisioterapia</w:t>
      </w:r>
      <w:r w:rsidR="00DE1DA3">
        <w:rPr>
          <w:color w:val="545454"/>
          <w:sz w:val="17"/>
          <w:szCs w:val="17"/>
        </w:rPr>
        <w:t xml:space="preserve"> u</w:t>
      </w:r>
      <w:r w:rsidR="00DE1DA3" w:rsidRPr="00756D5C">
        <w:rPr>
          <w:color w:val="545454"/>
          <w:sz w:val="17"/>
          <w:szCs w:val="17"/>
        </w:rPr>
        <w:t xml:space="preserve"> optometría,</w:t>
      </w:r>
      <w:r w:rsidR="00DE1DA3">
        <w:rPr>
          <w:color w:val="545454"/>
          <w:sz w:val="17"/>
          <w:szCs w:val="17"/>
        </w:rPr>
        <w:t xml:space="preserve"> </w:t>
      </w:r>
      <w:r w:rsidR="00DE1DA3" w:rsidRPr="00756D5C">
        <w:rPr>
          <w:color w:val="545454"/>
          <w:sz w:val="17"/>
          <w:szCs w:val="17"/>
        </w:rPr>
        <w:t>que forman parte del consumo de la mayoría de las familias en una sociedad avanzada</w:t>
      </w:r>
      <w:r w:rsidR="00631129">
        <w:rPr>
          <w:color w:val="545454"/>
          <w:sz w:val="17"/>
          <w:szCs w:val="17"/>
        </w:rPr>
        <w:t xml:space="preserve">. Cuando </w:t>
      </w:r>
      <w:r w:rsidR="00ED4992">
        <w:rPr>
          <w:color w:val="545454"/>
          <w:sz w:val="17"/>
          <w:szCs w:val="17"/>
        </w:rPr>
        <w:t xml:space="preserve">los servicios de salud </w:t>
      </w:r>
      <w:r w:rsidR="00BA7DEB">
        <w:rPr>
          <w:color w:val="545454"/>
          <w:sz w:val="17"/>
          <w:szCs w:val="17"/>
        </w:rPr>
        <w:t xml:space="preserve">son </w:t>
      </w:r>
      <w:r w:rsidR="00DE1DA3">
        <w:rPr>
          <w:color w:val="545454"/>
          <w:sz w:val="17"/>
          <w:szCs w:val="17"/>
        </w:rPr>
        <w:t xml:space="preserve">costeados </w:t>
      </w:r>
      <w:r w:rsidR="009E18CE">
        <w:rPr>
          <w:color w:val="545454"/>
          <w:sz w:val="17"/>
          <w:szCs w:val="17"/>
        </w:rPr>
        <w:t>directamente</w:t>
      </w:r>
      <w:r w:rsidR="00ED4992">
        <w:rPr>
          <w:color w:val="545454"/>
          <w:sz w:val="17"/>
          <w:szCs w:val="17"/>
        </w:rPr>
        <w:t xml:space="preserve"> </w:t>
      </w:r>
      <w:r w:rsidR="00DE1DA3">
        <w:rPr>
          <w:color w:val="545454"/>
          <w:sz w:val="17"/>
          <w:szCs w:val="17"/>
        </w:rPr>
        <w:t>por las familias</w:t>
      </w:r>
      <w:r w:rsidR="00ED4992">
        <w:rPr>
          <w:color w:val="545454"/>
          <w:sz w:val="17"/>
          <w:szCs w:val="17"/>
        </w:rPr>
        <w:t xml:space="preserve"> </w:t>
      </w:r>
      <w:r w:rsidR="00DE1DA3">
        <w:rPr>
          <w:color w:val="545454"/>
          <w:sz w:val="17"/>
          <w:szCs w:val="17"/>
        </w:rPr>
        <w:t>la igualdad de oportunidades</w:t>
      </w:r>
      <w:r w:rsidR="00DE1DA3" w:rsidRPr="00DE1DA3">
        <w:rPr>
          <w:color w:val="545454"/>
          <w:sz w:val="17"/>
          <w:szCs w:val="17"/>
        </w:rPr>
        <w:t xml:space="preserve"> </w:t>
      </w:r>
      <w:r w:rsidR="00715CF8">
        <w:rPr>
          <w:color w:val="545454"/>
          <w:sz w:val="17"/>
          <w:szCs w:val="17"/>
        </w:rPr>
        <w:t>en el</w:t>
      </w:r>
      <w:r w:rsidR="00DE1DA3" w:rsidRPr="002D59F5">
        <w:rPr>
          <w:color w:val="545454"/>
          <w:sz w:val="17"/>
          <w:szCs w:val="17"/>
        </w:rPr>
        <w:t xml:space="preserve"> acceso a la salud de las personas con menos recursos</w:t>
      </w:r>
      <w:r w:rsidR="00ED4992">
        <w:rPr>
          <w:color w:val="545454"/>
          <w:sz w:val="17"/>
          <w:szCs w:val="17"/>
        </w:rPr>
        <w:t xml:space="preserve"> se ve afectada</w:t>
      </w:r>
      <w:r w:rsidR="00631129">
        <w:rPr>
          <w:color w:val="545454"/>
          <w:sz w:val="17"/>
          <w:szCs w:val="17"/>
        </w:rPr>
        <w:t xml:space="preserve">, pues </w:t>
      </w:r>
      <w:r w:rsidR="00C4496D">
        <w:rPr>
          <w:color w:val="545454"/>
          <w:sz w:val="17"/>
          <w:szCs w:val="17"/>
        </w:rPr>
        <w:t>no pueden acceder</w:t>
      </w:r>
      <w:r w:rsidR="00DE1DA3" w:rsidRPr="002D59F5">
        <w:rPr>
          <w:color w:val="545454"/>
          <w:sz w:val="17"/>
          <w:szCs w:val="17"/>
        </w:rPr>
        <w:t xml:space="preserve"> a los servicios que</w:t>
      </w:r>
      <w:r w:rsidR="00C4496D">
        <w:rPr>
          <w:color w:val="545454"/>
          <w:sz w:val="17"/>
          <w:szCs w:val="17"/>
        </w:rPr>
        <w:t xml:space="preserve"> no tiene</w:t>
      </w:r>
      <w:r w:rsidR="00377BB8">
        <w:rPr>
          <w:color w:val="545454"/>
          <w:sz w:val="17"/>
          <w:szCs w:val="17"/>
        </w:rPr>
        <w:t>n</w:t>
      </w:r>
      <w:r w:rsidR="00C4496D">
        <w:rPr>
          <w:color w:val="545454"/>
          <w:sz w:val="17"/>
          <w:szCs w:val="17"/>
        </w:rPr>
        <w:t xml:space="preserve"> </w:t>
      </w:r>
      <w:r w:rsidR="00DE1DA3" w:rsidRPr="002D59F5">
        <w:rPr>
          <w:color w:val="545454"/>
          <w:sz w:val="17"/>
          <w:szCs w:val="17"/>
        </w:rPr>
        <w:t>cobertura pública.</w:t>
      </w:r>
      <w:r w:rsidR="00DE1DA3">
        <w:rPr>
          <w:color w:val="545454"/>
          <w:sz w:val="17"/>
          <w:szCs w:val="17"/>
        </w:rPr>
        <w:t xml:space="preserve"> </w:t>
      </w:r>
    </w:p>
    <w:p w14:paraId="7C933D84" w14:textId="77777777" w:rsidR="00D1396B" w:rsidRDefault="009B1D70" w:rsidP="00963C56">
      <w:pPr>
        <w:widowControl/>
        <w:spacing w:before="120"/>
        <w:ind w:right="0"/>
        <w:rPr>
          <w:color w:val="545454"/>
          <w:sz w:val="17"/>
          <w:szCs w:val="17"/>
        </w:rPr>
      </w:pPr>
      <w:r w:rsidRPr="002D59F5">
        <w:rPr>
          <w:color w:val="545454"/>
          <w:sz w:val="17"/>
          <w:szCs w:val="17"/>
        </w:rPr>
        <w:t xml:space="preserve">La </w:t>
      </w:r>
      <w:r>
        <w:rPr>
          <w:color w:val="545454"/>
          <w:sz w:val="17"/>
          <w:szCs w:val="17"/>
        </w:rPr>
        <w:t>corrección</w:t>
      </w:r>
      <w:r w:rsidRPr="002D59F5">
        <w:rPr>
          <w:color w:val="545454"/>
          <w:sz w:val="17"/>
          <w:szCs w:val="17"/>
        </w:rPr>
        <w:t xml:space="preserve"> de esta dicotomía </w:t>
      </w:r>
      <w:r>
        <w:rPr>
          <w:color w:val="545454"/>
          <w:sz w:val="17"/>
          <w:szCs w:val="17"/>
        </w:rPr>
        <w:t>requeriría</w:t>
      </w:r>
      <w:r w:rsidRPr="002D59F5">
        <w:rPr>
          <w:color w:val="545454"/>
          <w:sz w:val="17"/>
          <w:szCs w:val="17"/>
        </w:rPr>
        <w:t xml:space="preserve"> incorporar a la cartera de servicios del SNS coberturas básicas de servicios hoy excluidos, facilitando el acceso a las familias que tienen dificultades para </w:t>
      </w:r>
      <w:r w:rsidR="00377BB8">
        <w:rPr>
          <w:color w:val="545454"/>
          <w:sz w:val="17"/>
          <w:szCs w:val="17"/>
        </w:rPr>
        <w:t>obtenerlos</w:t>
      </w:r>
      <w:r w:rsidRPr="002D59F5">
        <w:rPr>
          <w:color w:val="545454"/>
          <w:sz w:val="17"/>
          <w:szCs w:val="17"/>
        </w:rPr>
        <w:t xml:space="preserve"> por sus propios medios</w:t>
      </w:r>
      <w:r w:rsidR="009B4EB8">
        <w:rPr>
          <w:color w:val="545454"/>
          <w:sz w:val="17"/>
          <w:szCs w:val="17"/>
        </w:rPr>
        <w:t>. Ese acceso podr</w:t>
      </w:r>
      <w:r w:rsidR="00D664F7">
        <w:rPr>
          <w:color w:val="545454"/>
          <w:sz w:val="17"/>
          <w:szCs w:val="17"/>
        </w:rPr>
        <w:t>ía</w:t>
      </w:r>
      <w:r w:rsidR="009B4EB8">
        <w:rPr>
          <w:color w:val="545454"/>
          <w:sz w:val="17"/>
          <w:szCs w:val="17"/>
        </w:rPr>
        <w:t xml:space="preserve"> facil</w:t>
      </w:r>
      <w:r w:rsidR="00D664F7">
        <w:rPr>
          <w:color w:val="545454"/>
          <w:sz w:val="17"/>
          <w:szCs w:val="17"/>
        </w:rPr>
        <w:t>i</w:t>
      </w:r>
      <w:r w:rsidR="009B4EB8">
        <w:rPr>
          <w:color w:val="545454"/>
          <w:sz w:val="17"/>
          <w:szCs w:val="17"/>
        </w:rPr>
        <w:t xml:space="preserve">tarse </w:t>
      </w:r>
      <w:r w:rsidRPr="002D59F5">
        <w:rPr>
          <w:color w:val="545454"/>
          <w:sz w:val="17"/>
          <w:szCs w:val="17"/>
        </w:rPr>
        <w:t xml:space="preserve">mediante bonos para la financiación de </w:t>
      </w:r>
      <w:proofErr w:type="gramStart"/>
      <w:r w:rsidRPr="002D59F5">
        <w:rPr>
          <w:color w:val="545454"/>
          <w:sz w:val="17"/>
          <w:szCs w:val="17"/>
        </w:rPr>
        <w:t>los mismos</w:t>
      </w:r>
      <w:proofErr w:type="gramEnd"/>
      <w:r w:rsidRPr="002D59F5">
        <w:rPr>
          <w:color w:val="545454"/>
          <w:sz w:val="17"/>
          <w:szCs w:val="17"/>
        </w:rPr>
        <w:t xml:space="preserve"> en los centros privados, </w:t>
      </w:r>
      <w:r w:rsidR="009B4EB8">
        <w:rPr>
          <w:color w:val="545454"/>
          <w:sz w:val="17"/>
          <w:szCs w:val="17"/>
        </w:rPr>
        <w:t xml:space="preserve">o </w:t>
      </w:r>
      <w:r w:rsidRPr="002D59F5">
        <w:rPr>
          <w:color w:val="545454"/>
          <w:sz w:val="17"/>
          <w:szCs w:val="17"/>
        </w:rPr>
        <w:t xml:space="preserve">mediante la prestación gratuita en los centros públicos, o una combinación de ambas. </w:t>
      </w:r>
      <w:r w:rsidR="009B4EB8">
        <w:rPr>
          <w:color w:val="545454"/>
          <w:sz w:val="17"/>
          <w:szCs w:val="17"/>
        </w:rPr>
        <w:t>La elección del instrumento debería</w:t>
      </w:r>
      <w:r w:rsidRPr="002D59F5">
        <w:rPr>
          <w:color w:val="545454"/>
          <w:sz w:val="17"/>
          <w:szCs w:val="17"/>
        </w:rPr>
        <w:t xml:space="preserve"> realizar</w:t>
      </w:r>
      <w:r w:rsidR="009B4EB8">
        <w:rPr>
          <w:color w:val="545454"/>
          <w:sz w:val="17"/>
          <w:szCs w:val="17"/>
        </w:rPr>
        <w:t>se tras</w:t>
      </w:r>
      <w:r w:rsidRPr="002D59F5">
        <w:rPr>
          <w:color w:val="545454"/>
          <w:sz w:val="17"/>
          <w:szCs w:val="17"/>
        </w:rPr>
        <w:t xml:space="preserve"> los correspondientes análisis y evaluación de los resultados de incluir gradualmente estos servicios,</w:t>
      </w:r>
      <w:r w:rsidR="009B4EB8">
        <w:rPr>
          <w:color w:val="545454"/>
          <w:sz w:val="17"/>
          <w:szCs w:val="17"/>
        </w:rPr>
        <w:t xml:space="preserve"> </w:t>
      </w:r>
      <w:r w:rsidRPr="002D59F5">
        <w:rPr>
          <w:color w:val="545454"/>
          <w:sz w:val="17"/>
          <w:szCs w:val="17"/>
        </w:rPr>
        <w:t>parti</w:t>
      </w:r>
      <w:r w:rsidR="009B4EB8">
        <w:rPr>
          <w:color w:val="545454"/>
          <w:sz w:val="17"/>
          <w:szCs w:val="17"/>
        </w:rPr>
        <w:t xml:space="preserve">endo </w:t>
      </w:r>
      <w:r w:rsidRPr="002D59F5">
        <w:rPr>
          <w:color w:val="545454"/>
          <w:sz w:val="17"/>
          <w:szCs w:val="17"/>
        </w:rPr>
        <w:t>de la experiencia de algunas CC. AA. que</w:t>
      </w:r>
      <w:r>
        <w:rPr>
          <w:color w:val="545454"/>
          <w:sz w:val="17"/>
          <w:szCs w:val="17"/>
        </w:rPr>
        <w:t xml:space="preserve">, en el ejercicio de las competencias que tienen asignadas en materia de sanidad, han optado por </w:t>
      </w:r>
      <w:r w:rsidRPr="002D59F5">
        <w:rPr>
          <w:color w:val="545454"/>
          <w:sz w:val="17"/>
          <w:szCs w:val="17"/>
        </w:rPr>
        <w:t>amplia</w:t>
      </w:r>
      <w:r>
        <w:rPr>
          <w:color w:val="545454"/>
          <w:sz w:val="17"/>
          <w:szCs w:val="17"/>
        </w:rPr>
        <w:t>r</w:t>
      </w:r>
      <w:r w:rsidRPr="002D59F5">
        <w:rPr>
          <w:color w:val="545454"/>
          <w:sz w:val="17"/>
          <w:szCs w:val="17"/>
        </w:rPr>
        <w:t xml:space="preserve"> la cobertura </w:t>
      </w:r>
      <w:r>
        <w:rPr>
          <w:color w:val="545454"/>
          <w:sz w:val="17"/>
          <w:szCs w:val="17"/>
        </w:rPr>
        <w:t>con una</w:t>
      </w:r>
      <w:r w:rsidRPr="002D59F5">
        <w:rPr>
          <w:color w:val="545454"/>
          <w:sz w:val="17"/>
          <w:szCs w:val="17"/>
        </w:rPr>
        <w:t xml:space="preserve"> cartera de servicios </w:t>
      </w:r>
      <w:r>
        <w:rPr>
          <w:color w:val="545454"/>
          <w:sz w:val="17"/>
          <w:szCs w:val="17"/>
        </w:rPr>
        <w:t>complementaria</w:t>
      </w:r>
      <w:r w:rsidRPr="002D59F5">
        <w:rPr>
          <w:color w:val="545454"/>
          <w:sz w:val="17"/>
          <w:szCs w:val="17"/>
        </w:rPr>
        <w:t>.</w:t>
      </w:r>
    </w:p>
    <w:p w14:paraId="37ABF8A6" w14:textId="77777777" w:rsidR="00D1396B" w:rsidRDefault="00D1396B" w:rsidP="00963C56">
      <w:pPr>
        <w:widowControl/>
        <w:spacing w:before="120"/>
        <w:ind w:right="0"/>
        <w:rPr>
          <w:color w:val="545454"/>
          <w:sz w:val="17"/>
          <w:szCs w:val="17"/>
        </w:rPr>
      </w:pPr>
    </w:p>
    <w:p w14:paraId="5B6ED058" w14:textId="77777777" w:rsidR="00D1396B" w:rsidRDefault="00D1396B" w:rsidP="00963C56">
      <w:pPr>
        <w:widowControl/>
        <w:spacing w:before="120"/>
        <w:ind w:right="0"/>
        <w:rPr>
          <w:color w:val="545454"/>
          <w:sz w:val="17"/>
          <w:szCs w:val="17"/>
        </w:rPr>
      </w:pPr>
    </w:p>
    <w:p w14:paraId="453BAA38" w14:textId="77777777" w:rsidR="00D1396B" w:rsidRDefault="00D1396B" w:rsidP="00963C56">
      <w:pPr>
        <w:widowControl/>
        <w:spacing w:before="120"/>
        <w:ind w:right="0"/>
        <w:rPr>
          <w:color w:val="545454"/>
          <w:sz w:val="17"/>
          <w:szCs w:val="17"/>
        </w:rPr>
      </w:pPr>
    </w:p>
    <w:p w14:paraId="1CFDEF8D" w14:textId="77777777" w:rsidR="00D1396B" w:rsidRDefault="00D1396B" w:rsidP="00963C56">
      <w:pPr>
        <w:widowControl/>
        <w:spacing w:before="120"/>
        <w:ind w:right="0"/>
        <w:rPr>
          <w:color w:val="545454"/>
          <w:sz w:val="17"/>
          <w:szCs w:val="17"/>
        </w:rPr>
      </w:pPr>
    </w:p>
    <w:p w14:paraId="54DBB975" w14:textId="77777777" w:rsidR="00D1396B" w:rsidRDefault="00D1396B" w:rsidP="00963C56">
      <w:pPr>
        <w:widowControl/>
        <w:spacing w:before="120"/>
        <w:ind w:right="0"/>
        <w:rPr>
          <w:color w:val="545454"/>
          <w:sz w:val="17"/>
          <w:szCs w:val="17"/>
        </w:rPr>
      </w:pPr>
    </w:p>
    <w:p w14:paraId="0C66910D" w14:textId="77777777" w:rsidR="00D1396B" w:rsidRDefault="00D1396B" w:rsidP="00596C72">
      <w:pPr>
        <w:widowControl/>
        <w:spacing w:before="120"/>
        <w:ind w:right="0"/>
        <w:rPr>
          <w:color w:val="545454"/>
          <w:sz w:val="17"/>
          <w:szCs w:val="17"/>
        </w:rPr>
      </w:pPr>
    </w:p>
    <w:sectPr w:rsidR="00D1396B" w:rsidSect="002A6B44">
      <w:headerReference w:type="default" r:id="rId19"/>
      <w:headerReference w:type="first" r:id="rId20"/>
      <w:type w:val="continuous"/>
      <w:pgSz w:w="11900" w:h="16840" w:code="9"/>
      <w:pgMar w:top="2410" w:right="771" w:bottom="709" w:left="709" w:header="709" w:footer="0" w:gutter="0"/>
      <w:cols w:num="2"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09E5CB" w14:textId="77777777" w:rsidR="00D63911" w:rsidRDefault="00D63911" w:rsidP="00482761">
      <w:r>
        <w:separator/>
      </w:r>
    </w:p>
  </w:endnote>
  <w:endnote w:type="continuationSeparator" w:id="0">
    <w:p w14:paraId="0A9DD43D" w14:textId="77777777" w:rsidR="00D63911" w:rsidRDefault="00D63911" w:rsidP="00482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BVABentonSansLight">
    <w:altName w:val="Calibri"/>
    <w:panose1 w:val="00000000000000020000"/>
    <w:charset w:val="00"/>
    <w:family w:val="auto"/>
    <w:pitch w:val="variable"/>
    <w:sig w:usb0="A000007F" w:usb1="4000804B" w:usb2="00000000" w:usb3="00000000" w:csb0="00000093"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BVABentonSans">
    <w:altName w:val="Calibri"/>
    <w:panose1 w:val="00000000000000020000"/>
    <w:charset w:val="00"/>
    <w:family w:val="auto"/>
    <w:pitch w:val="variable"/>
    <w:sig w:usb0="A00000BF" w:usb1="5000A04B" w:usb2="00000000" w:usb3="00000000" w:csb0="00000093"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pPr w:leftFromText="141" w:rightFromText="141" w:vertAnchor="text" w:horzAnchor="margin" w:tblpY="207"/>
      <w:tblOverlap w:val="never"/>
      <w:tblW w:w="104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9578"/>
    </w:tblGrid>
    <w:tr w:rsidR="00EC63B0" w:rsidRPr="001D4BD1" w14:paraId="3BD85CD2" w14:textId="77777777" w:rsidTr="0061418A">
      <w:trPr>
        <w:trHeight w:val="635"/>
      </w:trPr>
      <w:tc>
        <w:tcPr>
          <w:tcW w:w="851" w:type="dxa"/>
          <w:shd w:val="clear" w:color="auto" w:fill="F4F4F4"/>
        </w:tcPr>
        <w:p w14:paraId="7487B5CF" w14:textId="77777777" w:rsidR="00EC63B0" w:rsidRPr="00361648" w:rsidRDefault="00EC63B0" w:rsidP="00EC63B0">
          <w:pPr>
            <w:rPr>
              <w:szCs w:val="18"/>
            </w:rPr>
          </w:pPr>
          <w:r w:rsidRPr="00361648">
            <w:rPr>
              <w:noProof/>
              <w:szCs w:val="18"/>
            </w:rPr>
            <mc:AlternateContent>
              <mc:Choice Requires="wps">
                <w:drawing>
                  <wp:anchor distT="0" distB="0" distL="114300" distR="114300" simplePos="0" relativeHeight="251709440" behindDoc="0" locked="0" layoutInCell="1" allowOverlap="1" wp14:anchorId="6CC51DA0" wp14:editId="610E6CB3">
                    <wp:simplePos x="0" y="0"/>
                    <wp:positionH relativeFrom="column">
                      <wp:posOffset>98425</wp:posOffset>
                    </wp:positionH>
                    <wp:positionV relativeFrom="paragraph">
                      <wp:posOffset>73025</wp:posOffset>
                    </wp:positionV>
                    <wp:extent cx="236220" cy="236220"/>
                    <wp:effectExtent l="0" t="0" r="0" b="0"/>
                    <wp:wrapNone/>
                    <wp:docPr id="1254120101"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36220" cy="236220"/>
                            </a:xfrm>
                            <a:custGeom>
                              <a:avLst/>
                              <a:gdLst>
                                <a:gd name="T0" fmla="*/ 480 w 960"/>
                                <a:gd name="T1" fmla="*/ 320 h 960"/>
                                <a:gd name="T2" fmla="*/ 540 w 960"/>
                                <a:gd name="T3" fmla="*/ 260 h 960"/>
                                <a:gd name="T4" fmla="*/ 480 w 960"/>
                                <a:gd name="T5" fmla="*/ 200 h 960"/>
                                <a:gd name="T6" fmla="*/ 420 w 960"/>
                                <a:gd name="T7" fmla="*/ 260 h 960"/>
                                <a:gd name="T8" fmla="*/ 480 w 960"/>
                                <a:gd name="T9" fmla="*/ 320 h 960"/>
                                <a:gd name="T10" fmla="*/ 440 w 960"/>
                                <a:gd name="T11" fmla="*/ 400 h 960"/>
                                <a:gd name="T12" fmla="*/ 520 w 960"/>
                                <a:gd name="T13" fmla="*/ 400 h 960"/>
                                <a:gd name="T14" fmla="*/ 520 w 960"/>
                                <a:gd name="T15" fmla="*/ 760 h 960"/>
                                <a:gd name="T16" fmla="*/ 440 w 960"/>
                                <a:gd name="T17" fmla="*/ 680 h 960"/>
                                <a:gd name="T18" fmla="*/ 440 w 960"/>
                                <a:gd name="T19" fmla="*/ 400 h 960"/>
                                <a:gd name="T20" fmla="*/ 480 w 960"/>
                                <a:gd name="T21" fmla="*/ 960 h 960"/>
                                <a:gd name="T22" fmla="*/ 960 w 960"/>
                                <a:gd name="T23" fmla="*/ 480 h 960"/>
                                <a:gd name="T24" fmla="*/ 480 w 960"/>
                                <a:gd name="T25" fmla="*/ 0 h 960"/>
                                <a:gd name="T26" fmla="*/ 0 w 960"/>
                                <a:gd name="T27" fmla="*/ 480 h 960"/>
                                <a:gd name="T28" fmla="*/ 480 w 960"/>
                                <a:gd name="T29" fmla="*/ 960 h 9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60" h="960">
                                  <a:moveTo>
                                    <a:pt x="480" y="320"/>
                                  </a:moveTo>
                                  <a:cubicBezTo>
                                    <a:pt x="513" y="320"/>
                                    <a:pt x="540" y="293"/>
                                    <a:pt x="540" y="260"/>
                                  </a:cubicBezTo>
                                  <a:cubicBezTo>
                                    <a:pt x="540" y="227"/>
                                    <a:pt x="513" y="200"/>
                                    <a:pt x="480" y="200"/>
                                  </a:cubicBezTo>
                                  <a:cubicBezTo>
                                    <a:pt x="447" y="200"/>
                                    <a:pt x="420" y="227"/>
                                    <a:pt x="420" y="260"/>
                                  </a:cubicBezTo>
                                  <a:cubicBezTo>
                                    <a:pt x="420" y="293"/>
                                    <a:pt x="447" y="320"/>
                                    <a:pt x="480" y="320"/>
                                  </a:cubicBezTo>
                                  <a:close/>
                                  <a:moveTo>
                                    <a:pt x="440" y="400"/>
                                  </a:moveTo>
                                  <a:cubicBezTo>
                                    <a:pt x="520" y="400"/>
                                    <a:pt x="520" y="400"/>
                                    <a:pt x="520" y="400"/>
                                  </a:cubicBezTo>
                                  <a:cubicBezTo>
                                    <a:pt x="520" y="760"/>
                                    <a:pt x="520" y="760"/>
                                    <a:pt x="520" y="760"/>
                                  </a:cubicBezTo>
                                  <a:cubicBezTo>
                                    <a:pt x="440" y="680"/>
                                    <a:pt x="440" y="680"/>
                                    <a:pt x="440" y="680"/>
                                  </a:cubicBezTo>
                                  <a:lnTo>
                                    <a:pt x="440" y="400"/>
                                  </a:lnTo>
                                  <a:close/>
                                  <a:moveTo>
                                    <a:pt x="480" y="960"/>
                                  </a:moveTo>
                                  <a:cubicBezTo>
                                    <a:pt x="745" y="960"/>
                                    <a:pt x="960" y="745"/>
                                    <a:pt x="960" y="480"/>
                                  </a:cubicBezTo>
                                  <a:cubicBezTo>
                                    <a:pt x="960" y="215"/>
                                    <a:pt x="745" y="0"/>
                                    <a:pt x="480" y="0"/>
                                  </a:cubicBezTo>
                                  <a:cubicBezTo>
                                    <a:pt x="215" y="0"/>
                                    <a:pt x="0" y="215"/>
                                    <a:pt x="0" y="480"/>
                                  </a:cubicBezTo>
                                  <a:cubicBezTo>
                                    <a:pt x="0" y="745"/>
                                    <a:pt x="215" y="960"/>
                                    <a:pt x="480" y="960"/>
                                  </a:cubicBezTo>
                                  <a:close/>
                                </a:path>
                              </a:pathLst>
                            </a:custGeom>
                            <a:solidFill>
                              <a:schemeClr val="accent1"/>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1E27641A" id="Freeform 8" o:spid="_x0000_s1026" style="position:absolute;margin-left:7.75pt;margin-top:5.75pt;width:18.6pt;height:18.6pt;z-index:251709440;visibility:visible;mso-wrap-style:square;mso-wrap-distance-left:9pt;mso-wrap-distance-top:0;mso-wrap-distance-right:9pt;mso-wrap-distance-bottom:0;mso-position-horizontal:absolute;mso-position-horizontal-relative:text;mso-position-vertical:absolute;mso-position-vertical-relative:text;v-text-anchor:top" coordsize="960,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qp2fwQAAHQQAAAOAAAAZHJzL2Uyb0RvYy54bWysWE1v4zYQvRfofyB0LNDYUvyxFuIs0Gy3&#10;KJBuF4iLnmmKioVKokrSsbO/fmcoUiZtc6MtenEk6mlm3hvOUJO798emJi9cqkq06yS9mSaEt0wU&#10;Vfu8Tv7afPz5XUKUpm1Ba9HydfLKVfL+/scf7g5dzjOxE3XBJQEjrcoP3TrZad3lk4liO95QdSM6&#10;3sLDUsiGariVz5NC0gNYb+pJNp0uJgchi04KxpWC1Q/9w+Te2C9LzvSfZam4JvU6gdi0+ZXmd4u/&#10;k/s7mj9L2u0qZsOg/yGKhlYtOB1MfaCakr2sLkw1FZNCiVLfMNFMRFlWjBsOwCadnrF52tGOGy4g&#10;juoGmdT/Z5Z9ennqPksMXXWPgv2jSCt+LSr9WVStBkcpSjQ5dCofoHij4CWyPfwhCkgq3Wth2B9L&#10;2aAp4EWORuTXQWR+1ITBYna7yDJIBYNH9ho90Ny9zPZK/8aFMURfHpXuc1TAlVG4IC1twOsGjJRN&#10;Den6aUJm76bkQFYLl9EBlHqg22xKdtdAmQeazyKWbj1QtohYmnmgaExzDwSb+HpMCw80g8Cvslt6&#10;oGhMUIJv67TyQFGd0kDymFCpr/ksxi8NRI8RTH3V47Z82edRW77uy1gG00D4KEdf+QVsvqv7Kg2k&#10;j9rytY9yxJp5O42Zrz2Uw/W4Ml97RF3dXFmgfYxj5msf3fKZr30sKl/5WEy+7ujtqu5ZoHusNWS+&#10;7oFW0I2eXb+hO9eC2LG1PQiuCMUTbmraXicUtjtsSNDUNn3LpDmgsGFFwJACBN+a/voWGDRG8HwU&#10;GGRE8HIUGJRC8GoUGOsf0VDhfc/+NkUscQMfRzK1LNNxNLFQjfVxRLEWDXwcVSw3hENBjaGKFWXg&#10;46hi0Rj4OKqZpZqNo4rb31gPqMKmhnTZHSzhy+j8m0gmBL6JtsiX5h3VuPHdJTmsEzxdya7/i+uN&#10;eOEbYRAa9z+Uo/ELx4fV7IRg+23FfuFffPwcmzvEafHg05iBA9gsZyuj5cVyf8Yjm8BmeHdmqhdu&#10;MGUdw9lryQbx2+VRHmYzaEjA4dyU3T5Z6BjO8R79HRyGd0I5nOMz8S5zEOrCaqG4SfApN71WMys7&#10;HEDjsme5WPyg7ajlUdrCQW7UgqPaT9O45VEeHGc4wH0P45YvPNStv7udkZOe7vk3cmArCCut7zqn&#10;LIV57HO2nMGxCrvP4l0OTKHCMj7ui9nsb7eMe6S3HtoM73oP7p2sb8rOg3McymajH28drWL8gRlb&#10;IqHDfvF7Ird7J5TAOTwTzFWNXb7IrMsYPMC+aMaVoUEa9GlkUaKuio9VXWNjNHMsf6gleaEwgVLG&#10;eKvdiRIga/Ot0Ap8s08OrpjBC2ctHGhVvhXFK8xdMG/DILsT8ktCDjC7rhP1755KnpD69xZmtlVq&#10;Np82N7P5EutI+k+2/pN23zwICA6+HGnLwOo60e7yQfezMgyrwPexfeoYAk3Pl0pvjn9T2ZEOLuEl&#10;mPA+CTez0tzNbijagLWUeiL2BkZbo6gdw3F29u8N6vTPgvuvAAAA//8DAFBLAwQUAAYACAAAACEA&#10;2mOLxtsAAAAHAQAADwAAAGRycy9kb3ducmV2LnhtbEyOzU7DMBCE70i8g7VI3KjTQpqSxqkQUi+I&#10;C4VDubnxNokaryPb+eHtWU70NBrNaOYrdrPtxIg+tI4ULBcJCKTKmZZqBV+f+4cNiBA1Gd05QgU/&#10;GGBX3t4UOjduog8cD7EWPEIh1wqaGPtcylA1aHVYuB6Js7PzVke2vpbG64nHbSdXSbKWVrfED43u&#10;8bXB6nIYrIJjFR7tc/ad7N8uk1+PRxzwfVDq/m5+2YKIOMf/MvzhMzqUzHRyA5kgOvZpyk3WJSvn&#10;6SoDcVLwtMlAloW85i9/AQAA//8DAFBLAQItABQABgAIAAAAIQC2gziS/gAAAOEBAAATAAAAAAAA&#10;AAAAAAAAAAAAAABbQ29udGVudF9UeXBlc10ueG1sUEsBAi0AFAAGAAgAAAAhADj9If/WAAAAlAEA&#10;AAsAAAAAAAAAAAAAAAAALwEAAF9yZWxzLy5yZWxzUEsBAi0AFAAGAAgAAAAhACO6qnZ/BAAAdBAA&#10;AA4AAAAAAAAAAAAAAAAALgIAAGRycy9lMm9Eb2MueG1sUEsBAi0AFAAGAAgAAAAhANpji8bbAAAA&#10;BwEAAA8AAAAAAAAAAAAAAAAA2QYAAGRycy9kb3ducmV2LnhtbFBLBQYAAAAABAAEAPMAAADhBwAA&#10;AAA=&#10;" path="m480,320v33,,60,-27,60,-60c540,227,513,200,480,200v-33,,-60,27,-60,60c420,293,447,320,480,320xm440,400v80,,80,,80,c520,760,520,760,520,760,440,680,440,680,440,680r,-280xm480,960v265,,480,-215,480,-480c960,215,745,,480,,215,,,215,,480,,745,215,960,480,960xe" fillcolor="#1973b8 [3204]" stroked="f">
                    <v:path arrowok="t" o:connecttype="custom" o:connectlocs="118110,78740;132874,63976;118110,49213;103346,63976;118110,78740;108268,98425;127953,98425;127953,187008;108268,167323;108268,98425;118110,236220;236220,118110;118110,0;0,118110;118110,236220" o:connectangles="0,0,0,0,0,0,0,0,0,0,0,0,0,0,0"/>
                    <o:lock v:ext="edit" verticies="t"/>
                  </v:shape>
                </w:pict>
              </mc:Fallback>
            </mc:AlternateContent>
          </w:r>
        </w:p>
      </w:tc>
      <w:tc>
        <w:tcPr>
          <w:tcW w:w="9578" w:type="dxa"/>
          <w:shd w:val="clear" w:color="auto" w:fill="F4F4F4"/>
          <w:vAlign w:val="center"/>
        </w:tcPr>
        <w:p w14:paraId="1556BE89" w14:textId="77777777" w:rsidR="00EC63B0" w:rsidRPr="00361648" w:rsidRDefault="001543A8" w:rsidP="00EC63B0">
          <w:pPr>
            <w:pStyle w:val="vinculoinforme"/>
            <w:rPr>
              <w:rFonts w:asciiTheme="minorHAnsi" w:hAnsiTheme="minorHAnsi"/>
              <w:color w:val="888888" w:themeColor="background2" w:themeTint="80"/>
              <w:spacing w:val="-3"/>
              <w:szCs w:val="18"/>
            </w:rPr>
          </w:pPr>
          <w:hyperlink r:id="rId1" w:history="1">
            <w:r w:rsidRPr="00361648">
              <w:t xml:space="preserve"> </w:t>
            </w:r>
            <w:r w:rsidRPr="00361648">
              <w:rPr>
                <w:rStyle w:val="Hipervnculo"/>
                <w:rFonts w:asciiTheme="minorHAnsi" w:hAnsiTheme="minorHAnsi"/>
                <w:color w:val="888888" w:themeColor="background2" w:themeTint="80"/>
                <w:spacing w:val="-3"/>
                <w:szCs w:val="18"/>
                <w:u w:val="none"/>
              </w:rPr>
              <w:t>Para ampliar esta información puede consultarse</w:t>
            </w:r>
            <w:r w:rsidR="002B49B3" w:rsidRPr="00361648">
              <w:rPr>
                <w:rStyle w:val="Hipervnculo"/>
                <w:rFonts w:asciiTheme="minorHAnsi" w:hAnsiTheme="minorHAnsi"/>
                <w:color w:val="888888" w:themeColor="background2" w:themeTint="80"/>
                <w:spacing w:val="-3"/>
                <w:szCs w:val="18"/>
                <w:u w:val="none"/>
              </w:rPr>
              <w:t xml:space="preserve">: </w:t>
            </w:r>
            <w:r w:rsidR="004A3666" w:rsidRPr="00361648">
              <w:rPr>
                <w:rStyle w:val="Hipervnculo"/>
                <w:rFonts w:asciiTheme="minorHAnsi" w:hAnsiTheme="minorHAnsi"/>
                <w:color w:val="888888" w:themeColor="background2" w:themeTint="80"/>
                <w:spacing w:val="-3"/>
                <w:szCs w:val="18"/>
                <w:u w:val="none"/>
              </w:rPr>
              <w:t>Diversidad y descentralización del Sistema Nacional de Salud español. Una perspectiva económica de su evolución</w:t>
            </w:r>
            <w:r w:rsidR="00EC63B0" w:rsidRPr="00361648">
              <w:rPr>
                <w:rStyle w:val="Hipervnculo"/>
                <w:rFonts w:asciiTheme="minorHAnsi" w:hAnsiTheme="minorHAnsi"/>
                <w:i/>
                <w:iCs/>
                <w:color w:val="888888" w:themeColor="background2" w:themeTint="80"/>
                <w:spacing w:val="-3"/>
                <w:szCs w:val="18"/>
                <w:u w:val="none"/>
              </w:rPr>
              <w:t xml:space="preserve"> </w:t>
            </w:r>
            <w:r w:rsidR="00EC63B0" w:rsidRPr="00361648">
              <w:rPr>
                <w:rStyle w:val="Hipervnculo"/>
                <w:rFonts w:asciiTheme="minorHAnsi" w:hAnsiTheme="minorHAnsi"/>
                <w:color w:val="888888" w:themeColor="background2" w:themeTint="80"/>
                <w:spacing w:val="-3"/>
                <w:szCs w:val="18"/>
                <w:u w:val="none"/>
              </w:rPr>
              <w:t>(Fundación BBVA, 202</w:t>
            </w:r>
            <w:r w:rsidR="004A3666" w:rsidRPr="00361648">
              <w:rPr>
                <w:rStyle w:val="Hipervnculo"/>
                <w:rFonts w:asciiTheme="minorHAnsi" w:hAnsiTheme="minorHAnsi"/>
                <w:color w:val="888888" w:themeColor="background2" w:themeTint="80"/>
                <w:spacing w:val="-3"/>
                <w:szCs w:val="18"/>
                <w:u w:val="none"/>
              </w:rPr>
              <w:t>4</w:t>
            </w:r>
            <w:r w:rsidR="00EC63B0" w:rsidRPr="00361648">
              <w:rPr>
                <w:rStyle w:val="Hipervnculo"/>
                <w:rFonts w:asciiTheme="minorHAnsi" w:hAnsiTheme="minorHAnsi"/>
                <w:color w:val="888888" w:themeColor="background2" w:themeTint="80"/>
                <w:spacing w:val="-3"/>
                <w:szCs w:val="18"/>
                <w:u w:val="none"/>
              </w:rPr>
              <w:t>).</w:t>
            </w:r>
          </w:hyperlink>
        </w:p>
      </w:tc>
    </w:tr>
  </w:tbl>
  <w:p w14:paraId="766DAFF7" w14:textId="77777777" w:rsidR="00EC63B0" w:rsidRDefault="00EC63B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DF791F" w14:textId="77777777" w:rsidR="00D63911" w:rsidRDefault="00D63911" w:rsidP="00482761">
      <w:r>
        <w:separator/>
      </w:r>
    </w:p>
  </w:footnote>
  <w:footnote w:type="continuationSeparator" w:id="0">
    <w:p w14:paraId="137DBF43" w14:textId="77777777" w:rsidR="00D63911" w:rsidRDefault="00D63911" w:rsidP="004827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A6116" w14:textId="77777777" w:rsidR="00E239AA" w:rsidRDefault="00E239AA" w:rsidP="00DC6874">
    <w:pPr>
      <w:pStyle w:val="Fechacabecera"/>
      <w:jc w:val="left"/>
    </w:pPr>
    <w:r>
      <w:rPr>
        <w:noProof/>
        <w:lang w:val="es-ES"/>
      </w:rPr>
      <w:drawing>
        <wp:anchor distT="0" distB="0" distL="114300" distR="114300" simplePos="0" relativeHeight="251656192" behindDoc="0" locked="0" layoutInCell="1" allowOverlap="1" wp14:anchorId="171FA781" wp14:editId="3469B6C9">
          <wp:simplePos x="0" y="0"/>
          <wp:positionH relativeFrom="column">
            <wp:posOffset>5939025</wp:posOffset>
          </wp:positionH>
          <wp:positionV relativeFrom="paragraph">
            <wp:posOffset>0</wp:posOffset>
          </wp:positionV>
          <wp:extent cx="680400" cy="360000"/>
          <wp:effectExtent l="0" t="0" r="5715" b="2540"/>
          <wp:wrapNone/>
          <wp:docPr id="1986963179" name="Imagen 1986963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_del_Ministerio_de_Asuntos_Exteriores_y_de_Cooperación.sv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0400" cy="360000"/>
                  </a:xfrm>
                  <a:prstGeom prst="rect">
                    <a:avLst/>
                  </a:prstGeom>
                </pic:spPr>
              </pic:pic>
            </a:graphicData>
          </a:graphic>
          <wp14:sizeRelH relativeFrom="margin">
            <wp14:pctWidth>0</wp14:pctWidth>
          </wp14:sizeRelH>
          <wp14:sizeRelV relativeFrom="margin">
            <wp14:pctHeight>0</wp14:pctHeight>
          </wp14:sizeRelV>
        </wp:anchor>
      </w:drawing>
    </w:r>
    <w:r>
      <w:rPr>
        <w:noProof/>
        <w:lang w:val="es-ES"/>
      </w:rPr>
      <w:drawing>
        <wp:anchor distT="0" distB="0" distL="114300" distR="114300" simplePos="0" relativeHeight="251654144" behindDoc="0" locked="0" layoutInCell="1" allowOverlap="1" wp14:anchorId="56961C54" wp14:editId="57C99E27">
          <wp:simplePos x="0" y="0"/>
          <wp:positionH relativeFrom="column">
            <wp:posOffset>0</wp:posOffset>
          </wp:positionH>
          <wp:positionV relativeFrom="paragraph">
            <wp:posOffset>-635</wp:posOffset>
          </wp:positionV>
          <wp:extent cx="1829435" cy="581025"/>
          <wp:effectExtent l="0" t="0" r="0" b="9525"/>
          <wp:wrapNone/>
          <wp:docPr id="121711232" name="Imagen 121711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undacion BBVA_RGB.wmf"/>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29435" cy="581025"/>
                  </a:xfrm>
                  <a:prstGeom prst="rect">
                    <a:avLst/>
                  </a:prstGeom>
                </pic:spPr>
              </pic:pic>
            </a:graphicData>
          </a:graphic>
          <wp14:sizeRelH relativeFrom="margin">
            <wp14:pctWidth>0</wp14:pctWidth>
          </wp14:sizeRelH>
          <wp14:sizeRelV relativeFrom="margin">
            <wp14:pctHeight>0</wp14:pctHeight>
          </wp14:sizeRelV>
        </wp:anchor>
      </w:drawing>
    </w:r>
  </w:p>
  <w:p w14:paraId="2FBB4A08" w14:textId="77777777" w:rsidR="00E239AA" w:rsidRDefault="00E239AA" w:rsidP="00DC6874">
    <w:pPr>
      <w:pStyle w:val="Fechacabecera"/>
    </w:pPr>
  </w:p>
  <w:p w14:paraId="3F13E1DC" w14:textId="77777777" w:rsidR="00E239AA" w:rsidRDefault="00E239AA" w:rsidP="00DC6874">
    <w:pPr>
      <w:pStyle w:val="Fechacabecera"/>
    </w:pPr>
  </w:p>
  <w:p w14:paraId="78CC7D4D" w14:textId="77777777" w:rsidR="00E239AA" w:rsidRDefault="00E239AA" w:rsidP="00DC6874">
    <w:pPr>
      <w:pStyle w:val="Fechacabecera"/>
    </w:pPr>
  </w:p>
  <w:p w14:paraId="57EFDEA5" w14:textId="77777777" w:rsidR="00E239AA" w:rsidRPr="00F03373" w:rsidRDefault="00E239AA" w:rsidP="00DC6874">
    <w:pPr>
      <w:pStyle w:val="Fechacabecera"/>
    </w:pPr>
    <w:r w:rsidRPr="00AF74B7">
      <w:t xml:space="preserve">N.º </w:t>
    </w:r>
    <w:r>
      <w:t>43</w:t>
    </w:r>
    <w:r w:rsidRPr="00AF74B7">
      <w:t>/20</w:t>
    </w:r>
    <w:r>
      <w:t>20</w:t>
    </w:r>
  </w:p>
  <w:p w14:paraId="283D3A88" w14:textId="77777777" w:rsidR="00E239AA" w:rsidRDefault="00E239A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00485" w14:textId="77777777" w:rsidR="00E239AA" w:rsidRDefault="00E239AA" w:rsidP="00DC6874">
    <w:pPr>
      <w:pStyle w:val="Fechacabecera"/>
      <w:jc w:val="left"/>
    </w:pPr>
    <w:r>
      <w:rPr>
        <w:noProof/>
        <w:lang w:val="es-ES"/>
      </w:rPr>
      <w:drawing>
        <wp:anchor distT="0" distB="0" distL="114300" distR="114300" simplePos="0" relativeHeight="251660288" behindDoc="0" locked="0" layoutInCell="1" allowOverlap="1" wp14:anchorId="016CE653" wp14:editId="49CCA2B8">
          <wp:simplePos x="0" y="0"/>
          <wp:positionH relativeFrom="column">
            <wp:posOffset>5939025</wp:posOffset>
          </wp:positionH>
          <wp:positionV relativeFrom="paragraph">
            <wp:posOffset>0</wp:posOffset>
          </wp:positionV>
          <wp:extent cx="680400" cy="360000"/>
          <wp:effectExtent l="0" t="0" r="5715" b="2540"/>
          <wp:wrapNone/>
          <wp:docPr id="1224470345" name="Imagen 1224470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_del_Ministerio_de_Asuntos_Exteriores_y_de_Cooperación.sv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0400" cy="360000"/>
                  </a:xfrm>
                  <a:prstGeom prst="rect">
                    <a:avLst/>
                  </a:prstGeom>
                </pic:spPr>
              </pic:pic>
            </a:graphicData>
          </a:graphic>
          <wp14:sizeRelH relativeFrom="margin">
            <wp14:pctWidth>0</wp14:pctWidth>
          </wp14:sizeRelH>
          <wp14:sizeRelV relativeFrom="margin">
            <wp14:pctHeight>0</wp14:pctHeight>
          </wp14:sizeRelV>
        </wp:anchor>
      </w:drawing>
    </w:r>
    <w:r>
      <w:rPr>
        <w:noProof/>
        <w:lang w:val="es-ES"/>
      </w:rPr>
      <w:drawing>
        <wp:anchor distT="0" distB="0" distL="114300" distR="114300" simplePos="0" relativeHeight="251658240" behindDoc="0" locked="0" layoutInCell="1" allowOverlap="1" wp14:anchorId="4A8B38E6" wp14:editId="5A129C81">
          <wp:simplePos x="0" y="0"/>
          <wp:positionH relativeFrom="column">
            <wp:posOffset>0</wp:posOffset>
          </wp:positionH>
          <wp:positionV relativeFrom="paragraph">
            <wp:posOffset>-635</wp:posOffset>
          </wp:positionV>
          <wp:extent cx="1829435" cy="581025"/>
          <wp:effectExtent l="0" t="0" r="0" b="9525"/>
          <wp:wrapNone/>
          <wp:docPr id="273208586" name="Imagen 273208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undacion BBVA_RGB.wmf"/>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29435" cy="581025"/>
                  </a:xfrm>
                  <a:prstGeom prst="rect">
                    <a:avLst/>
                  </a:prstGeom>
                </pic:spPr>
              </pic:pic>
            </a:graphicData>
          </a:graphic>
          <wp14:sizeRelH relativeFrom="margin">
            <wp14:pctWidth>0</wp14:pctWidth>
          </wp14:sizeRelH>
          <wp14:sizeRelV relativeFrom="margin">
            <wp14:pctHeight>0</wp14:pctHeight>
          </wp14:sizeRelV>
        </wp:anchor>
      </w:drawing>
    </w:r>
  </w:p>
  <w:p w14:paraId="34BA63CB" w14:textId="77777777" w:rsidR="00E239AA" w:rsidRDefault="00E239AA" w:rsidP="00DC6874">
    <w:pPr>
      <w:pStyle w:val="Fechacabecera"/>
    </w:pPr>
  </w:p>
  <w:p w14:paraId="6D9337CA" w14:textId="77777777" w:rsidR="00E239AA" w:rsidRDefault="00E239AA" w:rsidP="00DC6874">
    <w:pPr>
      <w:pStyle w:val="Fechacabecera"/>
    </w:pPr>
  </w:p>
  <w:p w14:paraId="43D02071" w14:textId="77777777" w:rsidR="00E239AA" w:rsidRPr="00AD03A4" w:rsidRDefault="00E239AA" w:rsidP="00DC6874">
    <w:pPr>
      <w:pStyle w:val="Nombredoc"/>
    </w:pPr>
    <w:r w:rsidRPr="00AD03A4">
      <w:t>Esenciales</w:t>
    </w:r>
  </w:p>
  <w:p w14:paraId="227963CC" w14:textId="77777777" w:rsidR="00E239AA" w:rsidRPr="00DC6874" w:rsidRDefault="00E239AA" w:rsidP="00427CBD">
    <w:pPr>
      <w:pStyle w:val="Fechacabecera"/>
    </w:pPr>
    <w:r w:rsidRPr="00AF74B7">
      <w:t xml:space="preserve">N.º </w:t>
    </w:r>
    <w:r w:rsidR="00EC63B0">
      <w:t>0</w:t>
    </w:r>
    <w:r w:rsidR="0093091C">
      <w:t>2</w:t>
    </w:r>
    <w:r w:rsidRPr="00AF74B7">
      <w:t>/20</w:t>
    </w:r>
    <w:r>
      <w:t>2</w:t>
    </w:r>
    <w:r w:rsidR="0093091C">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01B52" w14:textId="77777777" w:rsidR="00DC6874" w:rsidRDefault="00DC6874" w:rsidP="00DC6874">
    <w:pPr>
      <w:pStyle w:val="Fechacabecera"/>
      <w:jc w:val="left"/>
    </w:pPr>
    <w:r>
      <w:rPr>
        <w:noProof/>
        <w:lang w:val="es-ES"/>
      </w:rPr>
      <w:drawing>
        <wp:anchor distT="0" distB="0" distL="114300" distR="114300" simplePos="0" relativeHeight="251704320" behindDoc="0" locked="0" layoutInCell="1" allowOverlap="1" wp14:anchorId="170AEF9C" wp14:editId="1996F8FC">
          <wp:simplePos x="0" y="0"/>
          <wp:positionH relativeFrom="column">
            <wp:posOffset>5939025</wp:posOffset>
          </wp:positionH>
          <wp:positionV relativeFrom="paragraph">
            <wp:posOffset>0</wp:posOffset>
          </wp:positionV>
          <wp:extent cx="680400" cy="360000"/>
          <wp:effectExtent l="0" t="0" r="5715" b="2540"/>
          <wp:wrapNone/>
          <wp:docPr id="185885348" name="Imagen 185885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_del_Ministerio_de_Asuntos_Exteriores_y_de_Cooperación.sv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0400" cy="360000"/>
                  </a:xfrm>
                  <a:prstGeom prst="rect">
                    <a:avLst/>
                  </a:prstGeom>
                </pic:spPr>
              </pic:pic>
            </a:graphicData>
          </a:graphic>
          <wp14:sizeRelH relativeFrom="margin">
            <wp14:pctWidth>0</wp14:pctWidth>
          </wp14:sizeRelH>
          <wp14:sizeRelV relativeFrom="margin">
            <wp14:pctHeight>0</wp14:pctHeight>
          </wp14:sizeRelV>
        </wp:anchor>
      </w:drawing>
    </w:r>
    <w:r>
      <w:rPr>
        <w:noProof/>
        <w:lang w:val="es-ES"/>
      </w:rPr>
      <w:drawing>
        <wp:anchor distT="0" distB="0" distL="114300" distR="114300" simplePos="0" relativeHeight="251703296" behindDoc="0" locked="0" layoutInCell="1" allowOverlap="1" wp14:anchorId="4FDA8FB2" wp14:editId="0EC789B1">
          <wp:simplePos x="0" y="0"/>
          <wp:positionH relativeFrom="column">
            <wp:posOffset>0</wp:posOffset>
          </wp:positionH>
          <wp:positionV relativeFrom="paragraph">
            <wp:posOffset>-635</wp:posOffset>
          </wp:positionV>
          <wp:extent cx="1829435" cy="581025"/>
          <wp:effectExtent l="0" t="0" r="0" b="9525"/>
          <wp:wrapNone/>
          <wp:docPr id="1423587288" name="Imagen 1423587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undacion BBVA_RGB.wmf"/>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29435" cy="581025"/>
                  </a:xfrm>
                  <a:prstGeom prst="rect">
                    <a:avLst/>
                  </a:prstGeom>
                </pic:spPr>
              </pic:pic>
            </a:graphicData>
          </a:graphic>
          <wp14:sizeRelH relativeFrom="margin">
            <wp14:pctWidth>0</wp14:pctWidth>
          </wp14:sizeRelH>
          <wp14:sizeRelV relativeFrom="margin">
            <wp14:pctHeight>0</wp14:pctHeight>
          </wp14:sizeRelV>
        </wp:anchor>
      </w:drawing>
    </w:r>
  </w:p>
  <w:p w14:paraId="20251A44" w14:textId="77777777" w:rsidR="00DC6874" w:rsidRDefault="00DC6874" w:rsidP="00DC6874">
    <w:pPr>
      <w:pStyle w:val="Fechacabecera"/>
    </w:pPr>
  </w:p>
  <w:p w14:paraId="4A6D77BF" w14:textId="77777777" w:rsidR="00DC6874" w:rsidRDefault="00DC6874" w:rsidP="00DC6874">
    <w:pPr>
      <w:pStyle w:val="Fechacabecera"/>
    </w:pPr>
  </w:p>
  <w:p w14:paraId="6497BA71" w14:textId="77777777" w:rsidR="00DC6874" w:rsidRDefault="00DC6874" w:rsidP="00DC6874">
    <w:pPr>
      <w:pStyle w:val="Fechacabecera"/>
    </w:pPr>
  </w:p>
  <w:p w14:paraId="2BD87C02" w14:textId="77777777" w:rsidR="00DC6874" w:rsidRPr="00F03373" w:rsidRDefault="00DC6874" w:rsidP="00DC6874">
    <w:pPr>
      <w:pStyle w:val="Fechacabecera"/>
    </w:pPr>
    <w:r w:rsidRPr="00AF74B7">
      <w:t xml:space="preserve">N.º </w:t>
    </w:r>
    <w:r w:rsidR="0044638D">
      <w:t>0</w:t>
    </w:r>
    <w:r w:rsidR="0093091C">
      <w:t>2</w:t>
    </w:r>
    <w:r w:rsidRPr="00AF74B7">
      <w:t>/20</w:t>
    </w:r>
    <w:r w:rsidR="002C53BF">
      <w:t>2</w:t>
    </w:r>
    <w:r w:rsidR="0093091C">
      <w:t>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D1190" w14:textId="77777777" w:rsidR="00DC6874" w:rsidRDefault="00DC6874" w:rsidP="00DC6874">
    <w:pPr>
      <w:pStyle w:val="Fechacabecera"/>
      <w:jc w:val="left"/>
    </w:pPr>
    <w:r>
      <w:rPr>
        <w:noProof/>
        <w:lang w:val="es-ES"/>
      </w:rPr>
      <w:drawing>
        <wp:anchor distT="0" distB="0" distL="114300" distR="114300" simplePos="0" relativeHeight="251707392" behindDoc="0" locked="0" layoutInCell="1" allowOverlap="1" wp14:anchorId="17F9FF9A" wp14:editId="6CCF888A">
          <wp:simplePos x="0" y="0"/>
          <wp:positionH relativeFrom="column">
            <wp:posOffset>5939025</wp:posOffset>
          </wp:positionH>
          <wp:positionV relativeFrom="paragraph">
            <wp:posOffset>0</wp:posOffset>
          </wp:positionV>
          <wp:extent cx="680400" cy="360000"/>
          <wp:effectExtent l="0" t="0" r="5715" b="2540"/>
          <wp:wrapNone/>
          <wp:docPr id="334480877" name="Imagen 334480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_del_Ministerio_de_Asuntos_Exteriores_y_de_Cooperación.sv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0400" cy="360000"/>
                  </a:xfrm>
                  <a:prstGeom prst="rect">
                    <a:avLst/>
                  </a:prstGeom>
                </pic:spPr>
              </pic:pic>
            </a:graphicData>
          </a:graphic>
          <wp14:sizeRelH relativeFrom="margin">
            <wp14:pctWidth>0</wp14:pctWidth>
          </wp14:sizeRelH>
          <wp14:sizeRelV relativeFrom="margin">
            <wp14:pctHeight>0</wp14:pctHeight>
          </wp14:sizeRelV>
        </wp:anchor>
      </w:drawing>
    </w:r>
    <w:r>
      <w:rPr>
        <w:noProof/>
        <w:lang w:val="es-ES"/>
      </w:rPr>
      <w:drawing>
        <wp:anchor distT="0" distB="0" distL="114300" distR="114300" simplePos="0" relativeHeight="251706368" behindDoc="0" locked="0" layoutInCell="1" allowOverlap="1" wp14:anchorId="70B60EEA" wp14:editId="13671FB8">
          <wp:simplePos x="0" y="0"/>
          <wp:positionH relativeFrom="column">
            <wp:posOffset>0</wp:posOffset>
          </wp:positionH>
          <wp:positionV relativeFrom="paragraph">
            <wp:posOffset>-635</wp:posOffset>
          </wp:positionV>
          <wp:extent cx="1829435" cy="581025"/>
          <wp:effectExtent l="0" t="0" r="0" b="9525"/>
          <wp:wrapNone/>
          <wp:docPr id="2084441218" name="Imagen 2084441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undacion BBVA_RGB.wmf"/>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29435" cy="581025"/>
                  </a:xfrm>
                  <a:prstGeom prst="rect">
                    <a:avLst/>
                  </a:prstGeom>
                </pic:spPr>
              </pic:pic>
            </a:graphicData>
          </a:graphic>
          <wp14:sizeRelH relativeFrom="margin">
            <wp14:pctWidth>0</wp14:pctWidth>
          </wp14:sizeRelH>
          <wp14:sizeRelV relativeFrom="margin">
            <wp14:pctHeight>0</wp14:pctHeight>
          </wp14:sizeRelV>
        </wp:anchor>
      </w:drawing>
    </w:r>
  </w:p>
  <w:p w14:paraId="04179BAE" w14:textId="77777777" w:rsidR="00DC6874" w:rsidRDefault="00DC6874" w:rsidP="00DC6874">
    <w:pPr>
      <w:pStyle w:val="Fechacabecera"/>
    </w:pPr>
  </w:p>
  <w:p w14:paraId="18BC17F0" w14:textId="77777777" w:rsidR="00DC6874" w:rsidRDefault="00DC6874" w:rsidP="00DC6874">
    <w:pPr>
      <w:pStyle w:val="Fechacabecera"/>
    </w:pPr>
  </w:p>
  <w:p w14:paraId="02EF0EBC" w14:textId="77777777" w:rsidR="00DC6874" w:rsidRPr="00AD03A4" w:rsidRDefault="00DC6874" w:rsidP="00DC6874">
    <w:pPr>
      <w:pStyle w:val="Nombredoc"/>
    </w:pPr>
    <w:r w:rsidRPr="00AD03A4">
      <w:t>Esenciales</w:t>
    </w:r>
  </w:p>
  <w:p w14:paraId="2814ECC8" w14:textId="77777777" w:rsidR="00DC6874" w:rsidRPr="00F03373" w:rsidRDefault="00DC6874" w:rsidP="00DC6874">
    <w:pPr>
      <w:pStyle w:val="Fechacabecera"/>
    </w:pPr>
    <w:r w:rsidRPr="00AF74B7">
      <w:t xml:space="preserve">N.º </w:t>
    </w:r>
    <w:r>
      <w:t>4</w:t>
    </w:r>
    <w:r w:rsidR="002C53BF">
      <w:t>3</w:t>
    </w:r>
    <w:r w:rsidRPr="00AF74B7">
      <w:t>/20</w:t>
    </w:r>
    <w:r w:rsidR="002C53BF">
      <w:t>20</w:t>
    </w:r>
  </w:p>
  <w:p w14:paraId="45CC8E1F" w14:textId="77777777" w:rsidR="006C4CB5" w:rsidRPr="00DC6874" w:rsidRDefault="006C4CB5" w:rsidP="00DC687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E7E2D6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322636373" o:spid="_x0000_i1025" type="#_x0000_t75" style="width:15pt;height:30.75pt;visibility:visible;mso-wrap-style:square">
            <v:imagedata r:id="rId1" o:title=""/>
          </v:shape>
        </w:pict>
      </mc:Choice>
      <mc:Fallback>
        <w:drawing>
          <wp:inline distT="0" distB="0" distL="0" distR="0" wp14:anchorId="41382E00">
            <wp:extent cx="190500" cy="390525"/>
            <wp:effectExtent l="0" t="0" r="0" b="0"/>
            <wp:docPr id="1322636373" name="Imagen 1322636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500" cy="390525"/>
                    </a:xfrm>
                    <a:prstGeom prst="rect">
                      <a:avLst/>
                    </a:prstGeom>
                    <a:noFill/>
                    <a:ln>
                      <a:noFill/>
                    </a:ln>
                  </pic:spPr>
                </pic:pic>
              </a:graphicData>
            </a:graphic>
          </wp:inline>
        </w:drawing>
      </mc:Fallback>
    </mc:AlternateContent>
  </w:numPicBullet>
  <w:numPicBullet w:numPicBulletId="1">
    <mc:AlternateContent>
      <mc:Choice Requires="v">
        <w:pict>
          <v:shape w14:anchorId="7D7358FC" id="Imagen 1095720677" o:spid="_x0000_i1025" type="#_x0000_t75" style="width:43.5pt;height:30.75pt;visibility:visible;mso-wrap-style:square">
            <v:imagedata r:id="rId3" o:title=""/>
          </v:shape>
        </w:pict>
      </mc:Choice>
      <mc:Fallback>
        <w:drawing>
          <wp:inline distT="0" distB="0" distL="0" distR="0" wp14:anchorId="27CB06A3">
            <wp:extent cx="552450" cy="390525"/>
            <wp:effectExtent l="0" t="0" r="0" b="0"/>
            <wp:docPr id="1095720677" name="Imagen 1095720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2450" cy="390525"/>
                    </a:xfrm>
                    <a:prstGeom prst="rect">
                      <a:avLst/>
                    </a:prstGeom>
                    <a:noFill/>
                    <a:ln>
                      <a:noFill/>
                    </a:ln>
                  </pic:spPr>
                </pic:pic>
              </a:graphicData>
            </a:graphic>
          </wp:inline>
        </w:drawing>
      </mc:Fallback>
    </mc:AlternateContent>
  </w:numPicBullet>
  <w:numPicBullet w:numPicBulletId="2">
    <mc:AlternateContent>
      <mc:Choice Requires="v">
        <w:pict>
          <v:shape w14:anchorId="6E1AC7C6" id="Imagen 1787004572" o:spid="_x0000_i1025" type="#_x0000_t75" style="width:43.5pt;height:30.75pt;visibility:visible;mso-wrap-style:square">
            <v:imagedata r:id="rId5" o:title=""/>
          </v:shape>
        </w:pict>
      </mc:Choice>
      <mc:Fallback>
        <w:drawing>
          <wp:inline distT="0" distB="0" distL="0" distR="0" wp14:anchorId="610A540A">
            <wp:extent cx="552450" cy="390525"/>
            <wp:effectExtent l="0" t="0" r="0" b="0"/>
            <wp:docPr id="1787004572" name="Imagen 1787004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450" cy="390525"/>
                    </a:xfrm>
                    <a:prstGeom prst="rect">
                      <a:avLst/>
                    </a:prstGeom>
                    <a:noFill/>
                    <a:ln>
                      <a:noFill/>
                    </a:ln>
                  </pic:spPr>
                </pic:pic>
              </a:graphicData>
            </a:graphic>
          </wp:inline>
        </w:drawing>
      </mc:Fallback>
    </mc:AlternateContent>
  </w:numPicBullet>
  <w:abstractNum w:abstractNumId="0" w15:restartNumberingAfterBreak="0">
    <w:nsid w:val="FC1F22D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33C1824"/>
    <w:multiLevelType w:val="hybridMultilevel"/>
    <w:tmpl w:val="E8C8BD42"/>
    <w:lvl w:ilvl="0" w:tplc="9446A524">
      <w:start w:val="1"/>
      <w:numFmt w:val="bullet"/>
      <w:lvlText w:val=""/>
      <w:lvlJc w:val="left"/>
      <w:pPr>
        <w:ind w:left="428" w:hanging="360"/>
      </w:pPr>
      <w:rPr>
        <w:rFonts w:ascii="Wingdings" w:hAnsi="Wingdings" w:hint="default"/>
        <w:color w:val="2A86CA"/>
        <w:sz w:val="28"/>
      </w:rPr>
    </w:lvl>
    <w:lvl w:ilvl="1" w:tplc="0C0A0003" w:tentative="1">
      <w:start w:val="1"/>
      <w:numFmt w:val="bullet"/>
      <w:lvlText w:val="o"/>
      <w:lvlJc w:val="left"/>
      <w:pPr>
        <w:ind w:left="1440" w:hanging="360"/>
      </w:pPr>
      <w:rPr>
        <w:rFonts w:ascii="Courier New" w:hAnsi="Courier New" w:cs="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Symbo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Symbol"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3F72A1A"/>
    <w:multiLevelType w:val="hybridMultilevel"/>
    <w:tmpl w:val="B770C0A2"/>
    <w:lvl w:ilvl="0" w:tplc="52F25E30">
      <w:start w:val="1"/>
      <w:numFmt w:val="bullet"/>
      <w:lvlText w:val=""/>
      <w:lvlJc w:val="left"/>
      <w:pPr>
        <w:ind w:left="720" w:hanging="360"/>
      </w:pPr>
      <w:rPr>
        <w:rFonts w:ascii="Symbol" w:hAnsi="Symbol" w:hint="default"/>
        <w:sz w:val="28"/>
      </w:rPr>
    </w:lvl>
    <w:lvl w:ilvl="1" w:tplc="0C0A0003" w:tentative="1">
      <w:start w:val="1"/>
      <w:numFmt w:val="bullet"/>
      <w:lvlText w:val="o"/>
      <w:lvlJc w:val="left"/>
      <w:pPr>
        <w:ind w:left="1440" w:hanging="360"/>
      </w:pPr>
      <w:rPr>
        <w:rFonts w:ascii="Courier New" w:hAnsi="Courier New" w:cs="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Symbo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Symbol"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92A0D37"/>
    <w:multiLevelType w:val="hybridMultilevel"/>
    <w:tmpl w:val="415265AA"/>
    <w:lvl w:ilvl="0" w:tplc="DCD67E9C">
      <w:start w:val="1"/>
      <w:numFmt w:val="bullet"/>
      <w:lvlText w:val=""/>
      <w:lvlPicBulletId w:val="1"/>
      <w:lvlJc w:val="left"/>
      <w:pPr>
        <w:ind w:left="360" w:hanging="360"/>
      </w:pPr>
      <w:rPr>
        <w:rFonts w:ascii="Symbol" w:hAnsi="Symbol" w:hint="default"/>
        <w:color w:val="auto"/>
        <w:sz w:val="16"/>
        <w:u w:color="80808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35A82502"/>
    <w:multiLevelType w:val="hybridMultilevel"/>
    <w:tmpl w:val="B0F8BEE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81F4701"/>
    <w:multiLevelType w:val="hybridMultilevel"/>
    <w:tmpl w:val="8B42C676"/>
    <w:lvl w:ilvl="0" w:tplc="A172F91E">
      <w:start w:val="1"/>
      <w:numFmt w:val="bullet"/>
      <w:lvlText w:val=""/>
      <w:lvlPicBulletId w:val="2"/>
      <w:lvlJc w:val="left"/>
      <w:pPr>
        <w:ind w:left="360" w:hanging="360"/>
      </w:pPr>
      <w:rPr>
        <w:rFonts w:ascii="Symbol" w:hAnsi="Symbol" w:hint="default"/>
        <w:color w:val="auto"/>
        <w:sz w:val="16"/>
        <w:u w:color="80808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3DC746F6"/>
    <w:multiLevelType w:val="hybridMultilevel"/>
    <w:tmpl w:val="AEB4B1B8"/>
    <w:lvl w:ilvl="0" w:tplc="48D81A7E">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DA0C43"/>
    <w:multiLevelType w:val="hybridMultilevel"/>
    <w:tmpl w:val="DA5C7F8A"/>
    <w:lvl w:ilvl="0" w:tplc="32846948">
      <w:start w:val="1"/>
      <w:numFmt w:val="bullet"/>
      <w:lvlText w:val=""/>
      <w:lvlPicBulletId w:val="2"/>
      <w:lvlJc w:val="left"/>
      <w:pPr>
        <w:ind w:left="720" w:hanging="360"/>
      </w:pPr>
      <w:rPr>
        <w:rFonts w:ascii="Symbol" w:hAnsi="Symbol" w:hint="default"/>
        <w:color w:val="auto"/>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050566170">
    <w:abstractNumId w:val="2"/>
  </w:num>
  <w:num w:numId="2" w16cid:durableId="2022077850">
    <w:abstractNumId w:val="2"/>
  </w:num>
  <w:num w:numId="3" w16cid:durableId="1934630388">
    <w:abstractNumId w:val="1"/>
  </w:num>
  <w:num w:numId="4" w16cid:durableId="1649743315">
    <w:abstractNumId w:val="3"/>
  </w:num>
  <w:num w:numId="5" w16cid:durableId="516190225">
    <w:abstractNumId w:val="3"/>
    <w:lvlOverride w:ilvl="0">
      <w:startOverride w:val="1"/>
    </w:lvlOverride>
  </w:num>
  <w:num w:numId="6" w16cid:durableId="26759192">
    <w:abstractNumId w:val="5"/>
  </w:num>
  <w:num w:numId="7" w16cid:durableId="1689520625">
    <w:abstractNumId w:val="5"/>
  </w:num>
  <w:num w:numId="8" w16cid:durableId="242765377">
    <w:abstractNumId w:val="5"/>
  </w:num>
  <w:num w:numId="9" w16cid:durableId="1939481926">
    <w:abstractNumId w:val="7"/>
  </w:num>
  <w:num w:numId="10" w16cid:durableId="1185552650">
    <w:abstractNumId w:val="4"/>
  </w:num>
  <w:num w:numId="11" w16cid:durableId="1817641964">
    <w:abstractNumId w:val="6"/>
  </w:num>
  <w:num w:numId="12" w16cid:durableId="1982928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3A6"/>
    <w:rsid w:val="000005C3"/>
    <w:rsid w:val="00000636"/>
    <w:rsid w:val="000010DF"/>
    <w:rsid w:val="00005FCA"/>
    <w:rsid w:val="00006751"/>
    <w:rsid w:val="000071D5"/>
    <w:rsid w:val="00007B61"/>
    <w:rsid w:val="00007D5D"/>
    <w:rsid w:val="000112F2"/>
    <w:rsid w:val="00012016"/>
    <w:rsid w:val="000143D1"/>
    <w:rsid w:val="0001443B"/>
    <w:rsid w:val="00024016"/>
    <w:rsid w:val="00025802"/>
    <w:rsid w:val="00026DDE"/>
    <w:rsid w:val="00027FF8"/>
    <w:rsid w:val="00030C69"/>
    <w:rsid w:val="00031C1B"/>
    <w:rsid w:val="00035356"/>
    <w:rsid w:val="00035EDC"/>
    <w:rsid w:val="00040A50"/>
    <w:rsid w:val="000419E8"/>
    <w:rsid w:val="000431F6"/>
    <w:rsid w:val="00043AE9"/>
    <w:rsid w:val="000467CF"/>
    <w:rsid w:val="0005086D"/>
    <w:rsid w:val="000545A3"/>
    <w:rsid w:val="000547A2"/>
    <w:rsid w:val="000551C7"/>
    <w:rsid w:val="00055342"/>
    <w:rsid w:val="00056298"/>
    <w:rsid w:val="00056A09"/>
    <w:rsid w:val="000570E6"/>
    <w:rsid w:val="00057533"/>
    <w:rsid w:val="00061A49"/>
    <w:rsid w:val="000629E8"/>
    <w:rsid w:val="00063982"/>
    <w:rsid w:val="00065750"/>
    <w:rsid w:val="00067E83"/>
    <w:rsid w:val="000701F5"/>
    <w:rsid w:val="0007249D"/>
    <w:rsid w:val="00072632"/>
    <w:rsid w:val="00074E53"/>
    <w:rsid w:val="00075B8D"/>
    <w:rsid w:val="00081805"/>
    <w:rsid w:val="000831BF"/>
    <w:rsid w:val="000837FF"/>
    <w:rsid w:val="000839CD"/>
    <w:rsid w:val="000842FB"/>
    <w:rsid w:val="00084510"/>
    <w:rsid w:val="00090B8B"/>
    <w:rsid w:val="000941C0"/>
    <w:rsid w:val="00094B70"/>
    <w:rsid w:val="000A0ABC"/>
    <w:rsid w:val="000A4AD6"/>
    <w:rsid w:val="000A6447"/>
    <w:rsid w:val="000A7AA0"/>
    <w:rsid w:val="000B4947"/>
    <w:rsid w:val="000B5D11"/>
    <w:rsid w:val="000C0C49"/>
    <w:rsid w:val="000C189A"/>
    <w:rsid w:val="000C18CA"/>
    <w:rsid w:val="000C25CF"/>
    <w:rsid w:val="000C2E22"/>
    <w:rsid w:val="000D0198"/>
    <w:rsid w:val="000D069C"/>
    <w:rsid w:val="000D07EF"/>
    <w:rsid w:val="000D0913"/>
    <w:rsid w:val="000D2895"/>
    <w:rsid w:val="000D415A"/>
    <w:rsid w:val="000D5DE6"/>
    <w:rsid w:val="000D796D"/>
    <w:rsid w:val="000D7D4D"/>
    <w:rsid w:val="000D7EE9"/>
    <w:rsid w:val="000E03A6"/>
    <w:rsid w:val="000E0686"/>
    <w:rsid w:val="000E15D0"/>
    <w:rsid w:val="000E2E58"/>
    <w:rsid w:val="000E6A23"/>
    <w:rsid w:val="000E777E"/>
    <w:rsid w:val="000F13E2"/>
    <w:rsid w:val="000F3358"/>
    <w:rsid w:val="000F3936"/>
    <w:rsid w:val="000F46DA"/>
    <w:rsid w:val="000F5849"/>
    <w:rsid w:val="000F5BDE"/>
    <w:rsid w:val="000F5C01"/>
    <w:rsid w:val="000F62FE"/>
    <w:rsid w:val="000F7471"/>
    <w:rsid w:val="00100309"/>
    <w:rsid w:val="001006A4"/>
    <w:rsid w:val="00100A8D"/>
    <w:rsid w:val="00101851"/>
    <w:rsid w:val="00101ED1"/>
    <w:rsid w:val="00103EC2"/>
    <w:rsid w:val="0010529A"/>
    <w:rsid w:val="0010564E"/>
    <w:rsid w:val="00111BD5"/>
    <w:rsid w:val="00111BED"/>
    <w:rsid w:val="00116AA8"/>
    <w:rsid w:val="00117712"/>
    <w:rsid w:val="0012091D"/>
    <w:rsid w:val="001214A0"/>
    <w:rsid w:val="001235F2"/>
    <w:rsid w:val="0012776E"/>
    <w:rsid w:val="00127931"/>
    <w:rsid w:val="0013089D"/>
    <w:rsid w:val="001335C0"/>
    <w:rsid w:val="00134139"/>
    <w:rsid w:val="00134D13"/>
    <w:rsid w:val="00140C7B"/>
    <w:rsid w:val="0014184A"/>
    <w:rsid w:val="00142444"/>
    <w:rsid w:val="00144067"/>
    <w:rsid w:val="001456FB"/>
    <w:rsid w:val="00147661"/>
    <w:rsid w:val="00147A07"/>
    <w:rsid w:val="001511AE"/>
    <w:rsid w:val="001543A8"/>
    <w:rsid w:val="00154D22"/>
    <w:rsid w:val="00156F14"/>
    <w:rsid w:val="00161CDA"/>
    <w:rsid w:val="00162636"/>
    <w:rsid w:val="0016457D"/>
    <w:rsid w:val="001702E0"/>
    <w:rsid w:val="00174034"/>
    <w:rsid w:val="00174198"/>
    <w:rsid w:val="00174AE5"/>
    <w:rsid w:val="00176BA8"/>
    <w:rsid w:val="00180295"/>
    <w:rsid w:val="0018036C"/>
    <w:rsid w:val="0018056D"/>
    <w:rsid w:val="00182383"/>
    <w:rsid w:val="00182D14"/>
    <w:rsid w:val="00183567"/>
    <w:rsid w:val="00185C42"/>
    <w:rsid w:val="00187B5E"/>
    <w:rsid w:val="0019223F"/>
    <w:rsid w:val="001923EE"/>
    <w:rsid w:val="00192544"/>
    <w:rsid w:val="0019259A"/>
    <w:rsid w:val="001949DA"/>
    <w:rsid w:val="00194ADF"/>
    <w:rsid w:val="001A0F77"/>
    <w:rsid w:val="001A1169"/>
    <w:rsid w:val="001A125C"/>
    <w:rsid w:val="001A370D"/>
    <w:rsid w:val="001A3B16"/>
    <w:rsid w:val="001A4B18"/>
    <w:rsid w:val="001B1ACE"/>
    <w:rsid w:val="001B2789"/>
    <w:rsid w:val="001B5334"/>
    <w:rsid w:val="001B5618"/>
    <w:rsid w:val="001B676D"/>
    <w:rsid w:val="001B77B8"/>
    <w:rsid w:val="001B7B5D"/>
    <w:rsid w:val="001C0C0B"/>
    <w:rsid w:val="001C14D2"/>
    <w:rsid w:val="001C184E"/>
    <w:rsid w:val="001C2526"/>
    <w:rsid w:val="001C30BC"/>
    <w:rsid w:val="001C557B"/>
    <w:rsid w:val="001C74F4"/>
    <w:rsid w:val="001D0679"/>
    <w:rsid w:val="001D19D7"/>
    <w:rsid w:val="001D3220"/>
    <w:rsid w:val="001D4BD1"/>
    <w:rsid w:val="001D5D0C"/>
    <w:rsid w:val="001D5DF3"/>
    <w:rsid w:val="001D5DF5"/>
    <w:rsid w:val="001E19A4"/>
    <w:rsid w:val="001E2E77"/>
    <w:rsid w:val="001E4388"/>
    <w:rsid w:val="001E7E02"/>
    <w:rsid w:val="001F05A2"/>
    <w:rsid w:val="001F3A44"/>
    <w:rsid w:val="001F4DDE"/>
    <w:rsid w:val="001F56A3"/>
    <w:rsid w:val="001F76B5"/>
    <w:rsid w:val="002002AE"/>
    <w:rsid w:val="00201C51"/>
    <w:rsid w:val="00203287"/>
    <w:rsid w:val="002036D5"/>
    <w:rsid w:val="002038B1"/>
    <w:rsid w:val="00207A25"/>
    <w:rsid w:val="00211057"/>
    <w:rsid w:val="00212142"/>
    <w:rsid w:val="002158A8"/>
    <w:rsid w:val="00216811"/>
    <w:rsid w:val="00217B3A"/>
    <w:rsid w:val="00222046"/>
    <w:rsid w:val="00224E3D"/>
    <w:rsid w:val="00225561"/>
    <w:rsid w:val="002304A5"/>
    <w:rsid w:val="00231468"/>
    <w:rsid w:val="002334FB"/>
    <w:rsid w:val="0023451B"/>
    <w:rsid w:val="00234580"/>
    <w:rsid w:val="0024060E"/>
    <w:rsid w:val="002413E6"/>
    <w:rsid w:val="00242828"/>
    <w:rsid w:val="00242851"/>
    <w:rsid w:val="002535FD"/>
    <w:rsid w:val="002555D8"/>
    <w:rsid w:val="00256BE8"/>
    <w:rsid w:val="00257823"/>
    <w:rsid w:val="00261895"/>
    <w:rsid w:val="0026317F"/>
    <w:rsid w:val="00263D1C"/>
    <w:rsid w:val="002677DD"/>
    <w:rsid w:val="002702ED"/>
    <w:rsid w:val="00270461"/>
    <w:rsid w:val="00270DCC"/>
    <w:rsid w:val="00274748"/>
    <w:rsid w:val="00274993"/>
    <w:rsid w:val="0027547E"/>
    <w:rsid w:val="0027664B"/>
    <w:rsid w:val="002772BE"/>
    <w:rsid w:val="00277629"/>
    <w:rsid w:val="00280F2C"/>
    <w:rsid w:val="00284687"/>
    <w:rsid w:val="0028481E"/>
    <w:rsid w:val="00286067"/>
    <w:rsid w:val="0028622B"/>
    <w:rsid w:val="00287C0C"/>
    <w:rsid w:val="00291052"/>
    <w:rsid w:val="00292B61"/>
    <w:rsid w:val="00294349"/>
    <w:rsid w:val="002957B3"/>
    <w:rsid w:val="0029616C"/>
    <w:rsid w:val="002A02C8"/>
    <w:rsid w:val="002A1390"/>
    <w:rsid w:val="002A17A8"/>
    <w:rsid w:val="002A591F"/>
    <w:rsid w:val="002A6001"/>
    <w:rsid w:val="002A673D"/>
    <w:rsid w:val="002A6B44"/>
    <w:rsid w:val="002B367F"/>
    <w:rsid w:val="002B49B3"/>
    <w:rsid w:val="002B4E48"/>
    <w:rsid w:val="002B603D"/>
    <w:rsid w:val="002B6189"/>
    <w:rsid w:val="002B7CAC"/>
    <w:rsid w:val="002C0F17"/>
    <w:rsid w:val="002C19A1"/>
    <w:rsid w:val="002C2B90"/>
    <w:rsid w:val="002C36CD"/>
    <w:rsid w:val="002C377B"/>
    <w:rsid w:val="002C398F"/>
    <w:rsid w:val="002C4EFC"/>
    <w:rsid w:val="002C53BF"/>
    <w:rsid w:val="002C72E2"/>
    <w:rsid w:val="002D2409"/>
    <w:rsid w:val="002D59F5"/>
    <w:rsid w:val="002D5D6B"/>
    <w:rsid w:val="002D5EB8"/>
    <w:rsid w:val="002E01D4"/>
    <w:rsid w:val="002E032C"/>
    <w:rsid w:val="002E0A74"/>
    <w:rsid w:val="002E12E4"/>
    <w:rsid w:val="002E1390"/>
    <w:rsid w:val="002E1C3A"/>
    <w:rsid w:val="002E21FE"/>
    <w:rsid w:val="002E3B5B"/>
    <w:rsid w:val="002E4A6F"/>
    <w:rsid w:val="002E576D"/>
    <w:rsid w:val="002E6BFE"/>
    <w:rsid w:val="002E6DD8"/>
    <w:rsid w:val="002F0BAD"/>
    <w:rsid w:val="002F22BE"/>
    <w:rsid w:val="002F244C"/>
    <w:rsid w:val="002F5C06"/>
    <w:rsid w:val="002F5F65"/>
    <w:rsid w:val="002F737E"/>
    <w:rsid w:val="003027CC"/>
    <w:rsid w:val="00304E0A"/>
    <w:rsid w:val="00305C86"/>
    <w:rsid w:val="0031023D"/>
    <w:rsid w:val="00310C31"/>
    <w:rsid w:val="003155B6"/>
    <w:rsid w:val="00316106"/>
    <w:rsid w:val="00317038"/>
    <w:rsid w:val="00317739"/>
    <w:rsid w:val="00317CAF"/>
    <w:rsid w:val="00321474"/>
    <w:rsid w:val="00322F3A"/>
    <w:rsid w:val="00323D55"/>
    <w:rsid w:val="003365B9"/>
    <w:rsid w:val="0034085D"/>
    <w:rsid w:val="00341B43"/>
    <w:rsid w:val="00342E74"/>
    <w:rsid w:val="00342F54"/>
    <w:rsid w:val="003434A4"/>
    <w:rsid w:val="00347E3A"/>
    <w:rsid w:val="00351356"/>
    <w:rsid w:val="00351424"/>
    <w:rsid w:val="00352BB9"/>
    <w:rsid w:val="0035683F"/>
    <w:rsid w:val="00361648"/>
    <w:rsid w:val="00361C92"/>
    <w:rsid w:val="003647C0"/>
    <w:rsid w:val="00366499"/>
    <w:rsid w:val="00370C71"/>
    <w:rsid w:val="00370F54"/>
    <w:rsid w:val="00371C84"/>
    <w:rsid w:val="00372C41"/>
    <w:rsid w:val="003751C2"/>
    <w:rsid w:val="003769E0"/>
    <w:rsid w:val="00376FDC"/>
    <w:rsid w:val="00377046"/>
    <w:rsid w:val="00377B7A"/>
    <w:rsid w:val="00377BB8"/>
    <w:rsid w:val="00381F1A"/>
    <w:rsid w:val="00383D20"/>
    <w:rsid w:val="00390F32"/>
    <w:rsid w:val="0039167D"/>
    <w:rsid w:val="0039283B"/>
    <w:rsid w:val="00393533"/>
    <w:rsid w:val="00394D11"/>
    <w:rsid w:val="00395828"/>
    <w:rsid w:val="00395DC9"/>
    <w:rsid w:val="003A090E"/>
    <w:rsid w:val="003A143B"/>
    <w:rsid w:val="003A3379"/>
    <w:rsid w:val="003A45CA"/>
    <w:rsid w:val="003A46D0"/>
    <w:rsid w:val="003A5CBF"/>
    <w:rsid w:val="003A6AA4"/>
    <w:rsid w:val="003A6E44"/>
    <w:rsid w:val="003B4E5C"/>
    <w:rsid w:val="003B5278"/>
    <w:rsid w:val="003B6EE7"/>
    <w:rsid w:val="003B7586"/>
    <w:rsid w:val="003C0C7D"/>
    <w:rsid w:val="003C1D09"/>
    <w:rsid w:val="003C1E74"/>
    <w:rsid w:val="003C33A0"/>
    <w:rsid w:val="003C3817"/>
    <w:rsid w:val="003C3C4A"/>
    <w:rsid w:val="003D1698"/>
    <w:rsid w:val="003D3E6F"/>
    <w:rsid w:val="003D5A98"/>
    <w:rsid w:val="003E2CFF"/>
    <w:rsid w:val="003E3D2F"/>
    <w:rsid w:val="003E531F"/>
    <w:rsid w:val="003E5EBE"/>
    <w:rsid w:val="003E62B3"/>
    <w:rsid w:val="003E757C"/>
    <w:rsid w:val="003F238A"/>
    <w:rsid w:val="003F25D4"/>
    <w:rsid w:val="003F2907"/>
    <w:rsid w:val="003F2E2A"/>
    <w:rsid w:val="003F53C6"/>
    <w:rsid w:val="003F6899"/>
    <w:rsid w:val="003F6951"/>
    <w:rsid w:val="004022C0"/>
    <w:rsid w:val="00402EE9"/>
    <w:rsid w:val="004049DE"/>
    <w:rsid w:val="00407EEC"/>
    <w:rsid w:val="00411031"/>
    <w:rsid w:val="004114BE"/>
    <w:rsid w:val="0041188E"/>
    <w:rsid w:val="00412324"/>
    <w:rsid w:val="00412B2B"/>
    <w:rsid w:val="00412E33"/>
    <w:rsid w:val="004136A4"/>
    <w:rsid w:val="004179DE"/>
    <w:rsid w:val="00421D7F"/>
    <w:rsid w:val="00422B9B"/>
    <w:rsid w:val="00423D24"/>
    <w:rsid w:val="00426620"/>
    <w:rsid w:val="00426702"/>
    <w:rsid w:val="00426BA2"/>
    <w:rsid w:val="00426EA5"/>
    <w:rsid w:val="0042742E"/>
    <w:rsid w:val="004275BB"/>
    <w:rsid w:val="00427CBD"/>
    <w:rsid w:val="00433CC7"/>
    <w:rsid w:val="00436351"/>
    <w:rsid w:val="00441E5D"/>
    <w:rsid w:val="00442710"/>
    <w:rsid w:val="004440CE"/>
    <w:rsid w:val="00444B47"/>
    <w:rsid w:val="0044638D"/>
    <w:rsid w:val="00447958"/>
    <w:rsid w:val="00453BDC"/>
    <w:rsid w:val="00453C05"/>
    <w:rsid w:val="004550BD"/>
    <w:rsid w:val="004600F5"/>
    <w:rsid w:val="00460D18"/>
    <w:rsid w:val="0046314B"/>
    <w:rsid w:val="0046638C"/>
    <w:rsid w:val="00466D91"/>
    <w:rsid w:val="00472008"/>
    <w:rsid w:val="00472976"/>
    <w:rsid w:val="00472ED5"/>
    <w:rsid w:val="0047367C"/>
    <w:rsid w:val="00474FDD"/>
    <w:rsid w:val="004758EB"/>
    <w:rsid w:val="004760B0"/>
    <w:rsid w:val="00480369"/>
    <w:rsid w:val="00482761"/>
    <w:rsid w:val="00484C31"/>
    <w:rsid w:val="00484DE3"/>
    <w:rsid w:val="004858C1"/>
    <w:rsid w:val="00485B47"/>
    <w:rsid w:val="0048648A"/>
    <w:rsid w:val="00487637"/>
    <w:rsid w:val="004915F2"/>
    <w:rsid w:val="00491C8C"/>
    <w:rsid w:val="00492099"/>
    <w:rsid w:val="00495AE4"/>
    <w:rsid w:val="00497916"/>
    <w:rsid w:val="004A0314"/>
    <w:rsid w:val="004A3666"/>
    <w:rsid w:val="004A366A"/>
    <w:rsid w:val="004B09A8"/>
    <w:rsid w:val="004B0CF6"/>
    <w:rsid w:val="004B249B"/>
    <w:rsid w:val="004B444D"/>
    <w:rsid w:val="004B485D"/>
    <w:rsid w:val="004B4E4B"/>
    <w:rsid w:val="004B50E6"/>
    <w:rsid w:val="004C0403"/>
    <w:rsid w:val="004C11EB"/>
    <w:rsid w:val="004C3ACB"/>
    <w:rsid w:val="004C41A0"/>
    <w:rsid w:val="004C41C4"/>
    <w:rsid w:val="004D0030"/>
    <w:rsid w:val="004D270F"/>
    <w:rsid w:val="004D3231"/>
    <w:rsid w:val="004D51AC"/>
    <w:rsid w:val="004D5F55"/>
    <w:rsid w:val="004E0287"/>
    <w:rsid w:val="004E09BA"/>
    <w:rsid w:val="004E1A91"/>
    <w:rsid w:val="004E2496"/>
    <w:rsid w:val="004E2A01"/>
    <w:rsid w:val="004E2E87"/>
    <w:rsid w:val="004E4A44"/>
    <w:rsid w:val="004E7F59"/>
    <w:rsid w:val="004E7F96"/>
    <w:rsid w:val="004F233F"/>
    <w:rsid w:val="004F48C0"/>
    <w:rsid w:val="004F4C98"/>
    <w:rsid w:val="004F5DE6"/>
    <w:rsid w:val="004F7FF7"/>
    <w:rsid w:val="00503BE1"/>
    <w:rsid w:val="005045B7"/>
    <w:rsid w:val="00505428"/>
    <w:rsid w:val="00506718"/>
    <w:rsid w:val="00506A43"/>
    <w:rsid w:val="0050732F"/>
    <w:rsid w:val="005075A8"/>
    <w:rsid w:val="00507868"/>
    <w:rsid w:val="0051069C"/>
    <w:rsid w:val="00510840"/>
    <w:rsid w:val="00511547"/>
    <w:rsid w:val="005116C5"/>
    <w:rsid w:val="00516355"/>
    <w:rsid w:val="0052061C"/>
    <w:rsid w:val="00520A9D"/>
    <w:rsid w:val="00521C42"/>
    <w:rsid w:val="0052215C"/>
    <w:rsid w:val="005222EF"/>
    <w:rsid w:val="0052351C"/>
    <w:rsid w:val="005244E1"/>
    <w:rsid w:val="00527A13"/>
    <w:rsid w:val="005316A2"/>
    <w:rsid w:val="0053177F"/>
    <w:rsid w:val="005337EB"/>
    <w:rsid w:val="005339E4"/>
    <w:rsid w:val="00536E6E"/>
    <w:rsid w:val="005379AC"/>
    <w:rsid w:val="00537F95"/>
    <w:rsid w:val="00543B1A"/>
    <w:rsid w:val="00544C1E"/>
    <w:rsid w:val="005457CA"/>
    <w:rsid w:val="005535F2"/>
    <w:rsid w:val="0055668A"/>
    <w:rsid w:val="00556F1E"/>
    <w:rsid w:val="00557484"/>
    <w:rsid w:val="00557DC6"/>
    <w:rsid w:val="00561230"/>
    <w:rsid w:val="00562211"/>
    <w:rsid w:val="00564EFD"/>
    <w:rsid w:val="00567B31"/>
    <w:rsid w:val="005700AB"/>
    <w:rsid w:val="00580516"/>
    <w:rsid w:val="005815DE"/>
    <w:rsid w:val="00582CC3"/>
    <w:rsid w:val="005830F9"/>
    <w:rsid w:val="0058615C"/>
    <w:rsid w:val="005861E8"/>
    <w:rsid w:val="00590306"/>
    <w:rsid w:val="00590C0F"/>
    <w:rsid w:val="00591724"/>
    <w:rsid w:val="00593403"/>
    <w:rsid w:val="005952ED"/>
    <w:rsid w:val="0059597A"/>
    <w:rsid w:val="0059668E"/>
    <w:rsid w:val="00596C72"/>
    <w:rsid w:val="00597609"/>
    <w:rsid w:val="00597C65"/>
    <w:rsid w:val="005A07A2"/>
    <w:rsid w:val="005A0A0C"/>
    <w:rsid w:val="005A13DE"/>
    <w:rsid w:val="005A19B0"/>
    <w:rsid w:val="005A1E5A"/>
    <w:rsid w:val="005A326C"/>
    <w:rsid w:val="005A40B7"/>
    <w:rsid w:val="005A59B8"/>
    <w:rsid w:val="005A6368"/>
    <w:rsid w:val="005A6C1B"/>
    <w:rsid w:val="005A6E57"/>
    <w:rsid w:val="005A6E74"/>
    <w:rsid w:val="005B18D4"/>
    <w:rsid w:val="005B2852"/>
    <w:rsid w:val="005B4059"/>
    <w:rsid w:val="005B45B6"/>
    <w:rsid w:val="005B4F96"/>
    <w:rsid w:val="005C01BD"/>
    <w:rsid w:val="005C157A"/>
    <w:rsid w:val="005C33A1"/>
    <w:rsid w:val="005C4B45"/>
    <w:rsid w:val="005C4D08"/>
    <w:rsid w:val="005C5414"/>
    <w:rsid w:val="005C5C97"/>
    <w:rsid w:val="005D0964"/>
    <w:rsid w:val="005D0ADB"/>
    <w:rsid w:val="005D29CB"/>
    <w:rsid w:val="005D36F5"/>
    <w:rsid w:val="005D4BA0"/>
    <w:rsid w:val="005D4DE6"/>
    <w:rsid w:val="005D7DB9"/>
    <w:rsid w:val="005E103B"/>
    <w:rsid w:val="005E4230"/>
    <w:rsid w:val="005E4325"/>
    <w:rsid w:val="005E5588"/>
    <w:rsid w:val="005E5E6B"/>
    <w:rsid w:val="005F087B"/>
    <w:rsid w:val="005F3260"/>
    <w:rsid w:val="005F4350"/>
    <w:rsid w:val="005F6335"/>
    <w:rsid w:val="005F7B80"/>
    <w:rsid w:val="0060050C"/>
    <w:rsid w:val="00602A12"/>
    <w:rsid w:val="00603D02"/>
    <w:rsid w:val="006046FB"/>
    <w:rsid w:val="00604B0C"/>
    <w:rsid w:val="0060586D"/>
    <w:rsid w:val="0060749B"/>
    <w:rsid w:val="00610068"/>
    <w:rsid w:val="00611326"/>
    <w:rsid w:val="00613E8B"/>
    <w:rsid w:val="00614D5B"/>
    <w:rsid w:val="0061652F"/>
    <w:rsid w:val="0062013A"/>
    <w:rsid w:val="006207A9"/>
    <w:rsid w:val="006212A7"/>
    <w:rsid w:val="00622BD8"/>
    <w:rsid w:val="00624162"/>
    <w:rsid w:val="00624365"/>
    <w:rsid w:val="006247CD"/>
    <w:rsid w:val="006250B9"/>
    <w:rsid w:val="00631129"/>
    <w:rsid w:val="00631220"/>
    <w:rsid w:val="00631380"/>
    <w:rsid w:val="00635AE8"/>
    <w:rsid w:val="00636249"/>
    <w:rsid w:val="00636CAB"/>
    <w:rsid w:val="0064006C"/>
    <w:rsid w:val="006403B6"/>
    <w:rsid w:val="00642554"/>
    <w:rsid w:val="00642896"/>
    <w:rsid w:val="00644CC0"/>
    <w:rsid w:val="00645E8A"/>
    <w:rsid w:val="0064654F"/>
    <w:rsid w:val="00650C52"/>
    <w:rsid w:val="00651233"/>
    <w:rsid w:val="006515CC"/>
    <w:rsid w:val="0065215C"/>
    <w:rsid w:val="00655E0D"/>
    <w:rsid w:val="00657AFB"/>
    <w:rsid w:val="00662038"/>
    <w:rsid w:val="006624BB"/>
    <w:rsid w:val="006630AF"/>
    <w:rsid w:val="00665792"/>
    <w:rsid w:val="006665D3"/>
    <w:rsid w:val="00671252"/>
    <w:rsid w:val="00671915"/>
    <w:rsid w:val="006720F7"/>
    <w:rsid w:val="00672C03"/>
    <w:rsid w:val="00672E59"/>
    <w:rsid w:val="006744CE"/>
    <w:rsid w:val="00676227"/>
    <w:rsid w:val="006801E3"/>
    <w:rsid w:val="00681131"/>
    <w:rsid w:val="006823ED"/>
    <w:rsid w:val="00682A48"/>
    <w:rsid w:val="00683206"/>
    <w:rsid w:val="00683F53"/>
    <w:rsid w:val="0068415D"/>
    <w:rsid w:val="00692C41"/>
    <w:rsid w:val="006931E5"/>
    <w:rsid w:val="0069350D"/>
    <w:rsid w:val="006952D8"/>
    <w:rsid w:val="006A3723"/>
    <w:rsid w:val="006A3E72"/>
    <w:rsid w:val="006A4C9B"/>
    <w:rsid w:val="006A520A"/>
    <w:rsid w:val="006A53DE"/>
    <w:rsid w:val="006A5CDD"/>
    <w:rsid w:val="006A5F02"/>
    <w:rsid w:val="006A699A"/>
    <w:rsid w:val="006A6D56"/>
    <w:rsid w:val="006A7E54"/>
    <w:rsid w:val="006B0BB0"/>
    <w:rsid w:val="006B15E6"/>
    <w:rsid w:val="006B250F"/>
    <w:rsid w:val="006B252B"/>
    <w:rsid w:val="006B4822"/>
    <w:rsid w:val="006B66F0"/>
    <w:rsid w:val="006B7ECB"/>
    <w:rsid w:val="006C0770"/>
    <w:rsid w:val="006C0DD0"/>
    <w:rsid w:val="006C0FFA"/>
    <w:rsid w:val="006C1C1A"/>
    <w:rsid w:val="006C20A9"/>
    <w:rsid w:val="006C266D"/>
    <w:rsid w:val="006C3F8D"/>
    <w:rsid w:val="006C4CB5"/>
    <w:rsid w:val="006D213F"/>
    <w:rsid w:val="006D2200"/>
    <w:rsid w:val="006D2E93"/>
    <w:rsid w:val="006D4F11"/>
    <w:rsid w:val="006D66C3"/>
    <w:rsid w:val="006D70D8"/>
    <w:rsid w:val="006D7EF5"/>
    <w:rsid w:val="006E108F"/>
    <w:rsid w:val="006E2592"/>
    <w:rsid w:val="006E4AA6"/>
    <w:rsid w:val="006E57E0"/>
    <w:rsid w:val="006E5D47"/>
    <w:rsid w:val="006E7450"/>
    <w:rsid w:val="006F14AD"/>
    <w:rsid w:val="006F5032"/>
    <w:rsid w:val="006F6A0E"/>
    <w:rsid w:val="006F6BBB"/>
    <w:rsid w:val="006F7A5F"/>
    <w:rsid w:val="00701050"/>
    <w:rsid w:val="0070543E"/>
    <w:rsid w:val="007058A5"/>
    <w:rsid w:val="00705E70"/>
    <w:rsid w:val="00710EB2"/>
    <w:rsid w:val="00712D68"/>
    <w:rsid w:val="0071397B"/>
    <w:rsid w:val="00713AD0"/>
    <w:rsid w:val="00714BA4"/>
    <w:rsid w:val="00715CF8"/>
    <w:rsid w:val="007219CE"/>
    <w:rsid w:val="00721A48"/>
    <w:rsid w:val="00721E6D"/>
    <w:rsid w:val="00722887"/>
    <w:rsid w:val="007236D9"/>
    <w:rsid w:val="007249AF"/>
    <w:rsid w:val="0072799E"/>
    <w:rsid w:val="00727AE8"/>
    <w:rsid w:val="00727D49"/>
    <w:rsid w:val="007302C7"/>
    <w:rsid w:val="00731876"/>
    <w:rsid w:val="00732144"/>
    <w:rsid w:val="00733547"/>
    <w:rsid w:val="00734DC7"/>
    <w:rsid w:val="007365C3"/>
    <w:rsid w:val="007371C8"/>
    <w:rsid w:val="0074187C"/>
    <w:rsid w:val="00742136"/>
    <w:rsid w:val="00742645"/>
    <w:rsid w:val="00747366"/>
    <w:rsid w:val="00747679"/>
    <w:rsid w:val="0074778E"/>
    <w:rsid w:val="00751363"/>
    <w:rsid w:val="00751847"/>
    <w:rsid w:val="00751DEF"/>
    <w:rsid w:val="007544D9"/>
    <w:rsid w:val="007554C4"/>
    <w:rsid w:val="00756D5C"/>
    <w:rsid w:val="00757EF7"/>
    <w:rsid w:val="00760759"/>
    <w:rsid w:val="00765737"/>
    <w:rsid w:val="0076649D"/>
    <w:rsid w:val="00770806"/>
    <w:rsid w:val="0077260D"/>
    <w:rsid w:val="00772DA2"/>
    <w:rsid w:val="0077407B"/>
    <w:rsid w:val="00774CB4"/>
    <w:rsid w:val="00776490"/>
    <w:rsid w:val="007815D3"/>
    <w:rsid w:val="0078182D"/>
    <w:rsid w:val="00781CEB"/>
    <w:rsid w:val="00783AC6"/>
    <w:rsid w:val="00784496"/>
    <w:rsid w:val="007846E2"/>
    <w:rsid w:val="00784892"/>
    <w:rsid w:val="00784C99"/>
    <w:rsid w:val="00785C9E"/>
    <w:rsid w:val="00790C73"/>
    <w:rsid w:val="007916A1"/>
    <w:rsid w:val="00791EF6"/>
    <w:rsid w:val="007934AD"/>
    <w:rsid w:val="007956DF"/>
    <w:rsid w:val="00795C2B"/>
    <w:rsid w:val="00797372"/>
    <w:rsid w:val="00797556"/>
    <w:rsid w:val="007A1737"/>
    <w:rsid w:val="007A2C84"/>
    <w:rsid w:val="007A2F54"/>
    <w:rsid w:val="007A452E"/>
    <w:rsid w:val="007B325B"/>
    <w:rsid w:val="007B4570"/>
    <w:rsid w:val="007C020C"/>
    <w:rsid w:val="007C1005"/>
    <w:rsid w:val="007C3328"/>
    <w:rsid w:val="007C33CF"/>
    <w:rsid w:val="007C7831"/>
    <w:rsid w:val="007C7F6A"/>
    <w:rsid w:val="007D04E1"/>
    <w:rsid w:val="007D0E76"/>
    <w:rsid w:val="007D3912"/>
    <w:rsid w:val="007D75FE"/>
    <w:rsid w:val="007D7868"/>
    <w:rsid w:val="007D79AF"/>
    <w:rsid w:val="007E4C08"/>
    <w:rsid w:val="007E569C"/>
    <w:rsid w:val="007E6E62"/>
    <w:rsid w:val="007E7AC7"/>
    <w:rsid w:val="007F03FE"/>
    <w:rsid w:val="007F1777"/>
    <w:rsid w:val="007F3C32"/>
    <w:rsid w:val="007F3F0A"/>
    <w:rsid w:val="007F617B"/>
    <w:rsid w:val="007F6D10"/>
    <w:rsid w:val="00801F70"/>
    <w:rsid w:val="008030FA"/>
    <w:rsid w:val="00803351"/>
    <w:rsid w:val="0080401F"/>
    <w:rsid w:val="00805ECE"/>
    <w:rsid w:val="00807340"/>
    <w:rsid w:val="00807FE7"/>
    <w:rsid w:val="00810FC1"/>
    <w:rsid w:val="0081332F"/>
    <w:rsid w:val="00813AFC"/>
    <w:rsid w:val="00816368"/>
    <w:rsid w:val="008214F7"/>
    <w:rsid w:val="008230EA"/>
    <w:rsid w:val="00823B3E"/>
    <w:rsid w:val="00823E59"/>
    <w:rsid w:val="00830BC3"/>
    <w:rsid w:val="00833351"/>
    <w:rsid w:val="00833543"/>
    <w:rsid w:val="00833DFC"/>
    <w:rsid w:val="00840AE8"/>
    <w:rsid w:val="008436B4"/>
    <w:rsid w:val="00844F26"/>
    <w:rsid w:val="008473DE"/>
    <w:rsid w:val="0085264F"/>
    <w:rsid w:val="00853AA8"/>
    <w:rsid w:val="00854A03"/>
    <w:rsid w:val="008558AC"/>
    <w:rsid w:val="008558E8"/>
    <w:rsid w:val="0085703A"/>
    <w:rsid w:val="00857C8A"/>
    <w:rsid w:val="00863DC8"/>
    <w:rsid w:val="008676D0"/>
    <w:rsid w:val="00867989"/>
    <w:rsid w:val="0087067D"/>
    <w:rsid w:val="008706F5"/>
    <w:rsid w:val="00870886"/>
    <w:rsid w:val="00871445"/>
    <w:rsid w:val="008738DC"/>
    <w:rsid w:val="008753B6"/>
    <w:rsid w:val="00877F03"/>
    <w:rsid w:val="0088026C"/>
    <w:rsid w:val="00881DA6"/>
    <w:rsid w:val="0088258B"/>
    <w:rsid w:val="00884267"/>
    <w:rsid w:val="00885605"/>
    <w:rsid w:val="00890721"/>
    <w:rsid w:val="00890929"/>
    <w:rsid w:val="00891047"/>
    <w:rsid w:val="00894835"/>
    <w:rsid w:val="00895841"/>
    <w:rsid w:val="00895891"/>
    <w:rsid w:val="00895B3E"/>
    <w:rsid w:val="00896485"/>
    <w:rsid w:val="0089758C"/>
    <w:rsid w:val="008A1836"/>
    <w:rsid w:val="008A3476"/>
    <w:rsid w:val="008A3D5B"/>
    <w:rsid w:val="008A4555"/>
    <w:rsid w:val="008A5F83"/>
    <w:rsid w:val="008A63A2"/>
    <w:rsid w:val="008A6A07"/>
    <w:rsid w:val="008A7F1D"/>
    <w:rsid w:val="008B01AE"/>
    <w:rsid w:val="008B0A5A"/>
    <w:rsid w:val="008B2B7D"/>
    <w:rsid w:val="008B3B9F"/>
    <w:rsid w:val="008C1C3C"/>
    <w:rsid w:val="008C32E3"/>
    <w:rsid w:val="008C3539"/>
    <w:rsid w:val="008C363F"/>
    <w:rsid w:val="008C38CE"/>
    <w:rsid w:val="008C3C05"/>
    <w:rsid w:val="008C5A17"/>
    <w:rsid w:val="008C73F4"/>
    <w:rsid w:val="008D2549"/>
    <w:rsid w:val="008D3243"/>
    <w:rsid w:val="008D3FFB"/>
    <w:rsid w:val="008D4061"/>
    <w:rsid w:val="008D510C"/>
    <w:rsid w:val="008D58AD"/>
    <w:rsid w:val="008D76A9"/>
    <w:rsid w:val="008E294E"/>
    <w:rsid w:val="008E2D2D"/>
    <w:rsid w:val="008E33EC"/>
    <w:rsid w:val="008E5886"/>
    <w:rsid w:val="008F0862"/>
    <w:rsid w:val="008F207C"/>
    <w:rsid w:val="008F357B"/>
    <w:rsid w:val="008F37CF"/>
    <w:rsid w:val="008F3D03"/>
    <w:rsid w:val="008F4F7F"/>
    <w:rsid w:val="008F5DF8"/>
    <w:rsid w:val="008F61B3"/>
    <w:rsid w:val="008F6687"/>
    <w:rsid w:val="008F73AF"/>
    <w:rsid w:val="009009EE"/>
    <w:rsid w:val="00901856"/>
    <w:rsid w:val="00901DDA"/>
    <w:rsid w:val="00902EFF"/>
    <w:rsid w:val="009037B6"/>
    <w:rsid w:val="00904042"/>
    <w:rsid w:val="00906762"/>
    <w:rsid w:val="00906A89"/>
    <w:rsid w:val="009115CF"/>
    <w:rsid w:val="00912925"/>
    <w:rsid w:val="009146CE"/>
    <w:rsid w:val="00914EA2"/>
    <w:rsid w:val="0091504D"/>
    <w:rsid w:val="00915AB3"/>
    <w:rsid w:val="00916FF5"/>
    <w:rsid w:val="00917BBF"/>
    <w:rsid w:val="00922214"/>
    <w:rsid w:val="0092672F"/>
    <w:rsid w:val="0093091C"/>
    <w:rsid w:val="0093324F"/>
    <w:rsid w:val="009379FB"/>
    <w:rsid w:val="00940206"/>
    <w:rsid w:val="00942F4B"/>
    <w:rsid w:val="0094701A"/>
    <w:rsid w:val="00952A2D"/>
    <w:rsid w:val="00954E93"/>
    <w:rsid w:val="009556A3"/>
    <w:rsid w:val="0095773A"/>
    <w:rsid w:val="009620CF"/>
    <w:rsid w:val="00963C56"/>
    <w:rsid w:val="00963E9F"/>
    <w:rsid w:val="00964CCF"/>
    <w:rsid w:val="0096599F"/>
    <w:rsid w:val="00965E89"/>
    <w:rsid w:val="009662B3"/>
    <w:rsid w:val="00966614"/>
    <w:rsid w:val="00966933"/>
    <w:rsid w:val="009675D7"/>
    <w:rsid w:val="00975CB3"/>
    <w:rsid w:val="0097704F"/>
    <w:rsid w:val="0098051C"/>
    <w:rsid w:val="00980FF3"/>
    <w:rsid w:val="00982F56"/>
    <w:rsid w:val="009836EF"/>
    <w:rsid w:val="00983F99"/>
    <w:rsid w:val="00984088"/>
    <w:rsid w:val="00984FAE"/>
    <w:rsid w:val="009861D1"/>
    <w:rsid w:val="00986A68"/>
    <w:rsid w:val="009927D2"/>
    <w:rsid w:val="00994030"/>
    <w:rsid w:val="0099539A"/>
    <w:rsid w:val="00995708"/>
    <w:rsid w:val="00996F03"/>
    <w:rsid w:val="009A4A00"/>
    <w:rsid w:val="009A68F1"/>
    <w:rsid w:val="009B1685"/>
    <w:rsid w:val="009B1B08"/>
    <w:rsid w:val="009B1D70"/>
    <w:rsid w:val="009B2822"/>
    <w:rsid w:val="009B44FE"/>
    <w:rsid w:val="009B4EB8"/>
    <w:rsid w:val="009B520F"/>
    <w:rsid w:val="009B5683"/>
    <w:rsid w:val="009B5985"/>
    <w:rsid w:val="009B62BE"/>
    <w:rsid w:val="009C3B0D"/>
    <w:rsid w:val="009D0AF2"/>
    <w:rsid w:val="009D437E"/>
    <w:rsid w:val="009D546A"/>
    <w:rsid w:val="009E18CE"/>
    <w:rsid w:val="009E1CFA"/>
    <w:rsid w:val="009E1E02"/>
    <w:rsid w:val="009E29C7"/>
    <w:rsid w:val="009E2ECE"/>
    <w:rsid w:val="009E5352"/>
    <w:rsid w:val="009E6AA3"/>
    <w:rsid w:val="009E7152"/>
    <w:rsid w:val="009F12B5"/>
    <w:rsid w:val="009F23B8"/>
    <w:rsid w:val="009F3F7D"/>
    <w:rsid w:val="009F542B"/>
    <w:rsid w:val="00A00D38"/>
    <w:rsid w:val="00A02723"/>
    <w:rsid w:val="00A02A49"/>
    <w:rsid w:val="00A05E01"/>
    <w:rsid w:val="00A05F23"/>
    <w:rsid w:val="00A107CA"/>
    <w:rsid w:val="00A1285C"/>
    <w:rsid w:val="00A12EC8"/>
    <w:rsid w:val="00A1335D"/>
    <w:rsid w:val="00A140D8"/>
    <w:rsid w:val="00A1449E"/>
    <w:rsid w:val="00A16FB0"/>
    <w:rsid w:val="00A20305"/>
    <w:rsid w:val="00A20456"/>
    <w:rsid w:val="00A20EE7"/>
    <w:rsid w:val="00A22316"/>
    <w:rsid w:val="00A23206"/>
    <w:rsid w:val="00A239C0"/>
    <w:rsid w:val="00A23DE6"/>
    <w:rsid w:val="00A25864"/>
    <w:rsid w:val="00A261FB"/>
    <w:rsid w:val="00A26EA4"/>
    <w:rsid w:val="00A27060"/>
    <w:rsid w:val="00A27A1C"/>
    <w:rsid w:val="00A27E96"/>
    <w:rsid w:val="00A3019E"/>
    <w:rsid w:val="00A30BDB"/>
    <w:rsid w:val="00A32BDF"/>
    <w:rsid w:val="00A3465F"/>
    <w:rsid w:val="00A40067"/>
    <w:rsid w:val="00A41072"/>
    <w:rsid w:val="00A43538"/>
    <w:rsid w:val="00A43B29"/>
    <w:rsid w:val="00A454F8"/>
    <w:rsid w:val="00A45636"/>
    <w:rsid w:val="00A47E18"/>
    <w:rsid w:val="00A47EF1"/>
    <w:rsid w:val="00A5025B"/>
    <w:rsid w:val="00A51081"/>
    <w:rsid w:val="00A52510"/>
    <w:rsid w:val="00A53801"/>
    <w:rsid w:val="00A57867"/>
    <w:rsid w:val="00A60B95"/>
    <w:rsid w:val="00A628EC"/>
    <w:rsid w:val="00A62A93"/>
    <w:rsid w:val="00A63F95"/>
    <w:rsid w:val="00A65103"/>
    <w:rsid w:val="00A7174F"/>
    <w:rsid w:val="00A72F29"/>
    <w:rsid w:val="00A73CE8"/>
    <w:rsid w:val="00A74331"/>
    <w:rsid w:val="00A7567C"/>
    <w:rsid w:val="00A758DE"/>
    <w:rsid w:val="00A7672D"/>
    <w:rsid w:val="00A81ED9"/>
    <w:rsid w:val="00A8375D"/>
    <w:rsid w:val="00A83E09"/>
    <w:rsid w:val="00A857FE"/>
    <w:rsid w:val="00A85827"/>
    <w:rsid w:val="00A86AB2"/>
    <w:rsid w:val="00A87140"/>
    <w:rsid w:val="00A92122"/>
    <w:rsid w:val="00A93B60"/>
    <w:rsid w:val="00A94643"/>
    <w:rsid w:val="00AA2142"/>
    <w:rsid w:val="00AA3144"/>
    <w:rsid w:val="00AA3267"/>
    <w:rsid w:val="00AA37FB"/>
    <w:rsid w:val="00AA6100"/>
    <w:rsid w:val="00AA6800"/>
    <w:rsid w:val="00AA7043"/>
    <w:rsid w:val="00AA711D"/>
    <w:rsid w:val="00AB0027"/>
    <w:rsid w:val="00AB00D5"/>
    <w:rsid w:val="00AB175B"/>
    <w:rsid w:val="00AB17EE"/>
    <w:rsid w:val="00AB2B22"/>
    <w:rsid w:val="00AB2C01"/>
    <w:rsid w:val="00AB50D8"/>
    <w:rsid w:val="00AB5515"/>
    <w:rsid w:val="00AB69FA"/>
    <w:rsid w:val="00AB750D"/>
    <w:rsid w:val="00AC114D"/>
    <w:rsid w:val="00AC3471"/>
    <w:rsid w:val="00AC3638"/>
    <w:rsid w:val="00AC3E84"/>
    <w:rsid w:val="00AC4B47"/>
    <w:rsid w:val="00AC4EEC"/>
    <w:rsid w:val="00AC51C9"/>
    <w:rsid w:val="00AD03A4"/>
    <w:rsid w:val="00AD1327"/>
    <w:rsid w:val="00AD16C6"/>
    <w:rsid w:val="00AD27CF"/>
    <w:rsid w:val="00AD553A"/>
    <w:rsid w:val="00AE1AF0"/>
    <w:rsid w:val="00AE25E1"/>
    <w:rsid w:val="00AE5037"/>
    <w:rsid w:val="00AE5A33"/>
    <w:rsid w:val="00AE613C"/>
    <w:rsid w:val="00AE614E"/>
    <w:rsid w:val="00AF3D35"/>
    <w:rsid w:val="00AF3D51"/>
    <w:rsid w:val="00AF4904"/>
    <w:rsid w:val="00AF579F"/>
    <w:rsid w:val="00AF74B7"/>
    <w:rsid w:val="00B00CBD"/>
    <w:rsid w:val="00B0273C"/>
    <w:rsid w:val="00B044A6"/>
    <w:rsid w:val="00B100C8"/>
    <w:rsid w:val="00B100E8"/>
    <w:rsid w:val="00B13F01"/>
    <w:rsid w:val="00B15110"/>
    <w:rsid w:val="00B15A18"/>
    <w:rsid w:val="00B16B0D"/>
    <w:rsid w:val="00B23094"/>
    <w:rsid w:val="00B245A1"/>
    <w:rsid w:val="00B26714"/>
    <w:rsid w:val="00B34EC1"/>
    <w:rsid w:val="00B37157"/>
    <w:rsid w:val="00B42A11"/>
    <w:rsid w:val="00B450EA"/>
    <w:rsid w:val="00B45C89"/>
    <w:rsid w:val="00B46A36"/>
    <w:rsid w:val="00B47C67"/>
    <w:rsid w:val="00B47F65"/>
    <w:rsid w:val="00B50756"/>
    <w:rsid w:val="00B507FE"/>
    <w:rsid w:val="00B512DE"/>
    <w:rsid w:val="00B52C60"/>
    <w:rsid w:val="00B548CC"/>
    <w:rsid w:val="00B550D3"/>
    <w:rsid w:val="00B56B03"/>
    <w:rsid w:val="00B61071"/>
    <w:rsid w:val="00B61665"/>
    <w:rsid w:val="00B62F40"/>
    <w:rsid w:val="00B632BD"/>
    <w:rsid w:val="00B64629"/>
    <w:rsid w:val="00B649DC"/>
    <w:rsid w:val="00B675CB"/>
    <w:rsid w:val="00B6775A"/>
    <w:rsid w:val="00B67F21"/>
    <w:rsid w:val="00B70620"/>
    <w:rsid w:val="00B731C2"/>
    <w:rsid w:val="00B736FC"/>
    <w:rsid w:val="00B743A4"/>
    <w:rsid w:val="00B74838"/>
    <w:rsid w:val="00B755CE"/>
    <w:rsid w:val="00B76070"/>
    <w:rsid w:val="00B76A18"/>
    <w:rsid w:val="00B7784E"/>
    <w:rsid w:val="00B814E8"/>
    <w:rsid w:val="00B82171"/>
    <w:rsid w:val="00B8348E"/>
    <w:rsid w:val="00B83ABA"/>
    <w:rsid w:val="00B83F3E"/>
    <w:rsid w:val="00B84540"/>
    <w:rsid w:val="00B85261"/>
    <w:rsid w:val="00B86CBE"/>
    <w:rsid w:val="00B8779F"/>
    <w:rsid w:val="00B91559"/>
    <w:rsid w:val="00B9525E"/>
    <w:rsid w:val="00B97CBF"/>
    <w:rsid w:val="00BA1E75"/>
    <w:rsid w:val="00BA20F5"/>
    <w:rsid w:val="00BA454D"/>
    <w:rsid w:val="00BA7DEB"/>
    <w:rsid w:val="00BB38DC"/>
    <w:rsid w:val="00BB39EE"/>
    <w:rsid w:val="00BB6090"/>
    <w:rsid w:val="00BB6A54"/>
    <w:rsid w:val="00BB7E4F"/>
    <w:rsid w:val="00BC3CB4"/>
    <w:rsid w:val="00BC3DA6"/>
    <w:rsid w:val="00BC40E2"/>
    <w:rsid w:val="00BC5843"/>
    <w:rsid w:val="00BC7694"/>
    <w:rsid w:val="00BD0A0C"/>
    <w:rsid w:val="00BD0C76"/>
    <w:rsid w:val="00BD1EDD"/>
    <w:rsid w:val="00BD24A9"/>
    <w:rsid w:val="00BD375A"/>
    <w:rsid w:val="00BD6C0B"/>
    <w:rsid w:val="00BD7ED8"/>
    <w:rsid w:val="00BE0838"/>
    <w:rsid w:val="00BE0C91"/>
    <w:rsid w:val="00BE10B5"/>
    <w:rsid w:val="00BE3042"/>
    <w:rsid w:val="00BE5825"/>
    <w:rsid w:val="00BE75F3"/>
    <w:rsid w:val="00BF1B36"/>
    <w:rsid w:val="00BF25F8"/>
    <w:rsid w:val="00BF3D6A"/>
    <w:rsid w:val="00BF400B"/>
    <w:rsid w:val="00C01353"/>
    <w:rsid w:val="00C02212"/>
    <w:rsid w:val="00C0337E"/>
    <w:rsid w:val="00C05AB4"/>
    <w:rsid w:val="00C06733"/>
    <w:rsid w:val="00C10D2A"/>
    <w:rsid w:val="00C11DED"/>
    <w:rsid w:val="00C15041"/>
    <w:rsid w:val="00C15AE5"/>
    <w:rsid w:val="00C16BD3"/>
    <w:rsid w:val="00C178CA"/>
    <w:rsid w:val="00C20173"/>
    <w:rsid w:val="00C20C90"/>
    <w:rsid w:val="00C21C3C"/>
    <w:rsid w:val="00C21E95"/>
    <w:rsid w:val="00C22D96"/>
    <w:rsid w:val="00C23D2A"/>
    <w:rsid w:val="00C2497A"/>
    <w:rsid w:val="00C24C72"/>
    <w:rsid w:val="00C252B0"/>
    <w:rsid w:val="00C259E2"/>
    <w:rsid w:val="00C25B8C"/>
    <w:rsid w:val="00C26A61"/>
    <w:rsid w:val="00C2716C"/>
    <w:rsid w:val="00C3026F"/>
    <w:rsid w:val="00C30786"/>
    <w:rsid w:val="00C35BBA"/>
    <w:rsid w:val="00C368D2"/>
    <w:rsid w:val="00C36B2E"/>
    <w:rsid w:val="00C36E97"/>
    <w:rsid w:val="00C42090"/>
    <w:rsid w:val="00C42911"/>
    <w:rsid w:val="00C42B1D"/>
    <w:rsid w:val="00C4496D"/>
    <w:rsid w:val="00C468A8"/>
    <w:rsid w:val="00C47EA5"/>
    <w:rsid w:val="00C51223"/>
    <w:rsid w:val="00C60BA8"/>
    <w:rsid w:val="00C617C3"/>
    <w:rsid w:val="00C62B15"/>
    <w:rsid w:val="00C63015"/>
    <w:rsid w:val="00C630DE"/>
    <w:rsid w:val="00C64473"/>
    <w:rsid w:val="00C64898"/>
    <w:rsid w:val="00C66EFD"/>
    <w:rsid w:val="00C7002F"/>
    <w:rsid w:val="00C70B1C"/>
    <w:rsid w:val="00C70BDE"/>
    <w:rsid w:val="00C70EEC"/>
    <w:rsid w:val="00C716DC"/>
    <w:rsid w:val="00C729F0"/>
    <w:rsid w:val="00C74512"/>
    <w:rsid w:val="00C745AB"/>
    <w:rsid w:val="00C75255"/>
    <w:rsid w:val="00C818BB"/>
    <w:rsid w:val="00C8518C"/>
    <w:rsid w:val="00C8577E"/>
    <w:rsid w:val="00C86FC8"/>
    <w:rsid w:val="00C87863"/>
    <w:rsid w:val="00C92414"/>
    <w:rsid w:val="00C94B14"/>
    <w:rsid w:val="00C953DD"/>
    <w:rsid w:val="00C95921"/>
    <w:rsid w:val="00C975B2"/>
    <w:rsid w:val="00CA0930"/>
    <w:rsid w:val="00CA2C46"/>
    <w:rsid w:val="00CA4CCA"/>
    <w:rsid w:val="00CA7CDC"/>
    <w:rsid w:val="00CB4805"/>
    <w:rsid w:val="00CB68CF"/>
    <w:rsid w:val="00CC7CEA"/>
    <w:rsid w:val="00CD04DD"/>
    <w:rsid w:val="00CD135F"/>
    <w:rsid w:val="00CD1B5C"/>
    <w:rsid w:val="00CD1C45"/>
    <w:rsid w:val="00CD35EE"/>
    <w:rsid w:val="00CD384C"/>
    <w:rsid w:val="00CD57D2"/>
    <w:rsid w:val="00CD5A17"/>
    <w:rsid w:val="00CD7117"/>
    <w:rsid w:val="00CD7DE3"/>
    <w:rsid w:val="00CE0D7C"/>
    <w:rsid w:val="00CE2EEF"/>
    <w:rsid w:val="00CE3D98"/>
    <w:rsid w:val="00CE4EE5"/>
    <w:rsid w:val="00CF3242"/>
    <w:rsid w:val="00CF3EC2"/>
    <w:rsid w:val="00CF5C8E"/>
    <w:rsid w:val="00D00AC6"/>
    <w:rsid w:val="00D01077"/>
    <w:rsid w:val="00D01175"/>
    <w:rsid w:val="00D017E3"/>
    <w:rsid w:val="00D01E84"/>
    <w:rsid w:val="00D03867"/>
    <w:rsid w:val="00D03D1A"/>
    <w:rsid w:val="00D0473C"/>
    <w:rsid w:val="00D11CD5"/>
    <w:rsid w:val="00D1396B"/>
    <w:rsid w:val="00D13FA4"/>
    <w:rsid w:val="00D212AE"/>
    <w:rsid w:val="00D21C4E"/>
    <w:rsid w:val="00D2301A"/>
    <w:rsid w:val="00D231B4"/>
    <w:rsid w:val="00D237FC"/>
    <w:rsid w:val="00D2670A"/>
    <w:rsid w:val="00D278EE"/>
    <w:rsid w:val="00D30902"/>
    <w:rsid w:val="00D30A45"/>
    <w:rsid w:val="00D31A06"/>
    <w:rsid w:val="00D3407B"/>
    <w:rsid w:val="00D3439A"/>
    <w:rsid w:val="00D34D24"/>
    <w:rsid w:val="00D351AB"/>
    <w:rsid w:val="00D354A2"/>
    <w:rsid w:val="00D409B7"/>
    <w:rsid w:val="00D40C8E"/>
    <w:rsid w:val="00D4199D"/>
    <w:rsid w:val="00D41D51"/>
    <w:rsid w:val="00D4208A"/>
    <w:rsid w:val="00D446BE"/>
    <w:rsid w:val="00D44EA1"/>
    <w:rsid w:val="00D4520D"/>
    <w:rsid w:val="00D52394"/>
    <w:rsid w:val="00D53740"/>
    <w:rsid w:val="00D551D4"/>
    <w:rsid w:val="00D55BC7"/>
    <w:rsid w:val="00D5726D"/>
    <w:rsid w:val="00D578B7"/>
    <w:rsid w:val="00D60FA1"/>
    <w:rsid w:val="00D62799"/>
    <w:rsid w:val="00D628DE"/>
    <w:rsid w:val="00D62A4C"/>
    <w:rsid w:val="00D63911"/>
    <w:rsid w:val="00D63F8A"/>
    <w:rsid w:val="00D64363"/>
    <w:rsid w:val="00D64610"/>
    <w:rsid w:val="00D664F7"/>
    <w:rsid w:val="00D67982"/>
    <w:rsid w:val="00D709C1"/>
    <w:rsid w:val="00D70B5D"/>
    <w:rsid w:val="00D713DB"/>
    <w:rsid w:val="00D71657"/>
    <w:rsid w:val="00D72D5F"/>
    <w:rsid w:val="00D73796"/>
    <w:rsid w:val="00D74104"/>
    <w:rsid w:val="00D80873"/>
    <w:rsid w:val="00D81283"/>
    <w:rsid w:val="00D815B0"/>
    <w:rsid w:val="00D81811"/>
    <w:rsid w:val="00D83740"/>
    <w:rsid w:val="00D8403A"/>
    <w:rsid w:val="00D8421A"/>
    <w:rsid w:val="00D84B1D"/>
    <w:rsid w:val="00D87B6A"/>
    <w:rsid w:val="00D90302"/>
    <w:rsid w:val="00D934A5"/>
    <w:rsid w:val="00D95F29"/>
    <w:rsid w:val="00DA09ED"/>
    <w:rsid w:val="00DA21FA"/>
    <w:rsid w:val="00DA2AEA"/>
    <w:rsid w:val="00DA3B82"/>
    <w:rsid w:val="00DA42D0"/>
    <w:rsid w:val="00DA6DD5"/>
    <w:rsid w:val="00DA7A69"/>
    <w:rsid w:val="00DB142C"/>
    <w:rsid w:val="00DB31B3"/>
    <w:rsid w:val="00DB3F46"/>
    <w:rsid w:val="00DB4141"/>
    <w:rsid w:val="00DB5AE7"/>
    <w:rsid w:val="00DB6B28"/>
    <w:rsid w:val="00DC1F3E"/>
    <w:rsid w:val="00DC3CB0"/>
    <w:rsid w:val="00DC5500"/>
    <w:rsid w:val="00DC686A"/>
    <w:rsid w:val="00DC6874"/>
    <w:rsid w:val="00DC78ED"/>
    <w:rsid w:val="00DC79EA"/>
    <w:rsid w:val="00DC7A1A"/>
    <w:rsid w:val="00DD145F"/>
    <w:rsid w:val="00DD541A"/>
    <w:rsid w:val="00DE04CE"/>
    <w:rsid w:val="00DE0C4B"/>
    <w:rsid w:val="00DE1951"/>
    <w:rsid w:val="00DE1A70"/>
    <w:rsid w:val="00DE1D4B"/>
    <w:rsid w:val="00DE1DA3"/>
    <w:rsid w:val="00DE6B41"/>
    <w:rsid w:val="00DE7B07"/>
    <w:rsid w:val="00DF0AF0"/>
    <w:rsid w:val="00DF0E3F"/>
    <w:rsid w:val="00DF0F79"/>
    <w:rsid w:val="00DF21FA"/>
    <w:rsid w:val="00DF2453"/>
    <w:rsid w:val="00DF511D"/>
    <w:rsid w:val="00DF634A"/>
    <w:rsid w:val="00E025DF"/>
    <w:rsid w:val="00E03A8B"/>
    <w:rsid w:val="00E06232"/>
    <w:rsid w:val="00E06A18"/>
    <w:rsid w:val="00E112FE"/>
    <w:rsid w:val="00E116E2"/>
    <w:rsid w:val="00E11A8B"/>
    <w:rsid w:val="00E1201A"/>
    <w:rsid w:val="00E12467"/>
    <w:rsid w:val="00E13749"/>
    <w:rsid w:val="00E1501D"/>
    <w:rsid w:val="00E16625"/>
    <w:rsid w:val="00E20967"/>
    <w:rsid w:val="00E21013"/>
    <w:rsid w:val="00E227F2"/>
    <w:rsid w:val="00E229E4"/>
    <w:rsid w:val="00E239AA"/>
    <w:rsid w:val="00E254D5"/>
    <w:rsid w:val="00E25C42"/>
    <w:rsid w:val="00E2655D"/>
    <w:rsid w:val="00E26A2C"/>
    <w:rsid w:val="00E26E5D"/>
    <w:rsid w:val="00E2752E"/>
    <w:rsid w:val="00E30A11"/>
    <w:rsid w:val="00E35EA2"/>
    <w:rsid w:val="00E35FE9"/>
    <w:rsid w:val="00E40950"/>
    <w:rsid w:val="00E43E82"/>
    <w:rsid w:val="00E43EE2"/>
    <w:rsid w:val="00E479A3"/>
    <w:rsid w:val="00E50057"/>
    <w:rsid w:val="00E525ED"/>
    <w:rsid w:val="00E5309C"/>
    <w:rsid w:val="00E64655"/>
    <w:rsid w:val="00E64F55"/>
    <w:rsid w:val="00E65EC4"/>
    <w:rsid w:val="00E66650"/>
    <w:rsid w:val="00E67897"/>
    <w:rsid w:val="00E72460"/>
    <w:rsid w:val="00E73ECD"/>
    <w:rsid w:val="00E74CE6"/>
    <w:rsid w:val="00E75382"/>
    <w:rsid w:val="00E81DA2"/>
    <w:rsid w:val="00E83096"/>
    <w:rsid w:val="00E83CF7"/>
    <w:rsid w:val="00E86250"/>
    <w:rsid w:val="00E86B76"/>
    <w:rsid w:val="00E87BDE"/>
    <w:rsid w:val="00E87C14"/>
    <w:rsid w:val="00E9025E"/>
    <w:rsid w:val="00E9241F"/>
    <w:rsid w:val="00E9293E"/>
    <w:rsid w:val="00E935A0"/>
    <w:rsid w:val="00E938F3"/>
    <w:rsid w:val="00E93CA9"/>
    <w:rsid w:val="00E9560F"/>
    <w:rsid w:val="00E972DA"/>
    <w:rsid w:val="00E97443"/>
    <w:rsid w:val="00EA49F2"/>
    <w:rsid w:val="00EB178B"/>
    <w:rsid w:val="00EB454F"/>
    <w:rsid w:val="00EB506A"/>
    <w:rsid w:val="00EB56E2"/>
    <w:rsid w:val="00EC1654"/>
    <w:rsid w:val="00EC1CBE"/>
    <w:rsid w:val="00EC5A17"/>
    <w:rsid w:val="00EC63B0"/>
    <w:rsid w:val="00EC75A3"/>
    <w:rsid w:val="00ED09C8"/>
    <w:rsid w:val="00ED1066"/>
    <w:rsid w:val="00ED1FC0"/>
    <w:rsid w:val="00ED4992"/>
    <w:rsid w:val="00ED4B4D"/>
    <w:rsid w:val="00EE093D"/>
    <w:rsid w:val="00EE20E0"/>
    <w:rsid w:val="00EE20E7"/>
    <w:rsid w:val="00EE326D"/>
    <w:rsid w:val="00EE436F"/>
    <w:rsid w:val="00EE4CAA"/>
    <w:rsid w:val="00EE59F6"/>
    <w:rsid w:val="00EE63E9"/>
    <w:rsid w:val="00EF142B"/>
    <w:rsid w:val="00EF23DA"/>
    <w:rsid w:val="00EF429A"/>
    <w:rsid w:val="00EF4A46"/>
    <w:rsid w:val="00EF5BE3"/>
    <w:rsid w:val="00EF79A1"/>
    <w:rsid w:val="00F01348"/>
    <w:rsid w:val="00F01B7D"/>
    <w:rsid w:val="00F01DEA"/>
    <w:rsid w:val="00F03373"/>
    <w:rsid w:val="00F03E4D"/>
    <w:rsid w:val="00F0411A"/>
    <w:rsid w:val="00F04382"/>
    <w:rsid w:val="00F04628"/>
    <w:rsid w:val="00F04B51"/>
    <w:rsid w:val="00F0628D"/>
    <w:rsid w:val="00F077D4"/>
    <w:rsid w:val="00F0791F"/>
    <w:rsid w:val="00F109C6"/>
    <w:rsid w:val="00F11EAE"/>
    <w:rsid w:val="00F12589"/>
    <w:rsid w:val="00F20CA3"/>
    <w:rsid w:val="00F22C71"/>
    <w:rsid w:val="00F23675"/>
    <w:rsid w:val="00F23A46"/>
    <w:rsid w:val="00F24819"/>
    <w:rsid w:val="00F250C1"/>
    <w:rsid w:val="00F2567A"/>
    <w:rsid w:val="00F26DA9"/>
    <w:rsid w:val="00F273B0"/>
    <w:rsid w:val="00F27AF7"/>
    <w:rsid w:val="00F27E04"/>
    <w:rsid w:val="00F30913"/>
    <w:rsid w:val="00F310E2"/>
    <w:rsid w:val="00F31381"/>
    <w:rsid w:val="00F33062"/>
    <w:rsid w:val="00F411A6"/>
    <w:rsid w:val="00F41413"/>
    <w:rsid w:val="00F427AE"/>
    <w:rsid w:val="00F43A54"/>
    <w:rsid w:val="00F43DF0"/>
    <w:rsid w:val="00F43E61"/>
    <w:rsid w:val="00F445F5"/>
    <w:rsid w:val="00F456F3"/>
    <w:rsid w:val="00F45C99"/>
    <w:rsid w:val="00F46AF8"/>
    <w:rsid w:val="00F4704E"/>
    <w:rsid w:val="00F50176"/>
    <w:rsid w:val="00F50715"/>
    <w:rsid w:val="00F52EDA"/>
    <w:rsid w:val="00F55218"/>
    <w:rsid w:val="00F55408"/>
    <w:rsid w:val="00F56540"/>
    <w:rsid w:val="00F602F9"/>
    <w:rsid w:val="00F61C22"/>
    <w:rsid w:val="00F61F05"/>
    <w:rsid w:val="00F62701"/>
    <w:rsid w:val="00F6381A"/>
    <w:rsid w:val="00F66397"/>
    <w:rsid w:val="00F669DE"/>
    <w:rsid w:val="00F70E6E"/>
    <w:rsid w:val="00F71461"/>
    <w:rsid w:val="00F71813"/>
    <w:rsid w:val="00F72842"/>
    <w:rsid w:val="00F73B92"/>
    <w:rsid w:val="00F770D7"/>
    <w:rsid w:val="00F814C6"/>
    <w:rsid w:val="00F81E1F"/>
    <w:rsid w:val="00F83192"/>
    <w:rsid w:val="00F839A1"/>
    <w:rsid w:val="00F85D6E"/>
    <w:rsid w:val="00F87380"/>
    <w:rsid w:val="00F9094E"/>
    <w:rsid w:val="00F947DF"/>
    <w:rsid w:val="00F974CD"/>
    <w:rsid w:val="00F97918"/>
    <w:rsid w:val="00F97A8F"/>
    <w:rsid w:val="00F97AE2"/>
    <w:rsid w:val="00F97DCB"/>
    <w:rsid w:val="00FA0677"/>
    <w:rsid w:val="00FA0786"/>
    <w:rsid w:val="00FA1E56"/>
    <w:rsid w:val="00FA21AA"/>
    <w:rsid w:val="00FA3332"/>
    <w:rsid w:val="00FA3617"/>
    <w:rsid w:val="00FA3C90"/>
    <w:rsid w:val="00FA414A"/>
    <w:rsid w:val="00FA41DF"/>
    <w:rsid w:val="00FA5323"/>
    <w:rsid w:val="00FA5C46"/>
    <w:rsid w:val="00FA77CA"/>
    <w:rsid w:val="00FB0503"/>
    <w:rsid w:val="00FB101E"/>
    <w:rsid w:val="00FB11D0"/>
    <w:rsid w:val="00FB296F"/>
    <w:rsid w:val="00FB3C4A"/>
    <w:rsid w:val="00FB3D7B"/>
    <w:rsid w:val="00FB42E1"/>
    <w:rsid w:val="00FB601D"/>
    <w:rsid w:val="00FB692B"/>
    <w:rsid w:val="00FB7CC4"/>
    <w:rsid w:val="00FC030C"/>
    <w:rsid w:val="00FC0456"/>
    <w:rsid w:val="00FC3561"/>
    <w:rsid w:val="00FC58BA"/>
    <w:rsid w:val="00FC5A5C"/>
    <w:rsid w:val="00FC6131"/>
    <w:rsid w:val="00FC6406"/>
    <w:rsid w:val="00FC7D12"/>
    <w:rsid w:val="00FD1157"/>
    <w:rsid w:val="00FD20D7"/>
    <w:rsid w:val="00FD29E3"/>
    <w:rsid w:val="00FD2AD1"/>
    <w:rsid w:val="00FD35CA"/>
    <w:rsid w:val="00FD5245"/>
    <w:rsid w:val="00FD5D97"/>
    <w:rsid w:val="00FD7214"/>
    <w:rsid w:val="00FE0249"/>
    <w:rsid w:val="00FE122C"/>
    <w:rsid w:val="00FE3FC4"/>
    <w:rsid w:val="00FE4B60"/>
    <w:rsid w:val="00FE6B97"/>
    <w:rsid w:val="00FF048C"/>
    <w:rsid w:val="00FF337C"/>
    <w:rsid w:val="00FF3D91"/>
    <w:rsid w:val="00FF5D6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BCC456B"/>
  <w15:docId w15:val="{CA7F4BA3-F737-4D24-9AD7-785414218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896"/>
    <w:pPr>
      <w:widowControl w:val="0"/>
      <w:autoSpaceDE w:val="0"/>
      <w:autoSpaceDN w:val="0"/>
      <w:adjustRightInd w:val="0"/>
      <w:spacing w:after="120"/>
      <w:ind w:right="142"/>
    </w:pPr>
    <w:rPr>
      <w:rFonts w:asciiTheme="minorHAnsi" w:eastAsia="Times" w:hAnsiTheme="minorHAnsi" w:cs="Arial"/>
      <w:color w:val="666666"/>
      <w:spacing w:val="-3"/>
      <w:sz w:val="18"/>
      <w:szCs w:val="24"/>
    </w:rPr>
  </w:style>
  <w:style w:type="paragraph" w:styleId="Ttulo1">
    <w:name w:val="heading 1"/>
    <w:basedOn w:val="Normal"/>
    <w:next w:val="Normal"/>
    <w:link w:val="Ttulo1Car"/>
    <w:uiPriority w:val="9"/>
    <w:qFormat/>
    <w:rsid w:val="00AA711D"/>
    <w:pPr>
      <w:outlineLvl w:val="0"/>
    </w:pPr>
    <w:rPr>
      <w:b/>
      <w:color w:val="004481" w:themeColor="text1"/>
      <w:lang w:val="en-US"/>
    </w:rPr>
  </w:style>
  <w:style w:type="paragraph" w:styleId="Ttulo2">
    <w:name w:val="heading 2"/>
    <w:basedOn w:val="Normal"/>
    <w:next w:val="Normal"/>
    <w:link w:val="Ttulo2Car"/>
    <w:uiPriority w:val="9"/>
    <w:unhideWhenUsed/>
    <w:qFormat/>
    <w:rsid w:val="0007249D"/>
    <w:pPr>
      <w:keepNext/>
      <w:keepLines/>
      <w:spacing w:before="200"/>
      <w:outlineLvl w:val="1"/>
    </w:pPr>
    <w:rPr>
      <w:rFonts w:asciiTheme="majorHAnsi" w:eastAsiaTheme="majorEastAsia" w:hAnsiTheme="majorHAnsi" w:cstheme="majorBidi"/>
      <w:bCs/>
      <w:color w:val="1464A5" w:themeColor="text2"/>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1CEB"/>
    <w:pPr>
      <w:tabs>
        <w:tab w:val="center" w:pos="4252"/>
        <w:tab w:val="right" w:pos="8504"/>
      </w:tabs>
    </w:pPr>
    <w:rPr>
      <w:color w:val="121212" w:themeColor="background2"/>
    </w:rPr>
  </w:style>
  <w:style w:type="character" w:customStyle="1" w:styleId="EncabezadoCar">
    <w:name w:val="Encabezado Car"/>
    <w:basedOn w:val="Fuentedeprrafopredeter"/>
    <w:link w:val="Encabezado"/>
    <w:uiPriority w:val="99"/>
    <w:rsid w:val="00781CEB"/>
    <w:rPr>
      <w:rFonts w:asciiTheme="minorHAnsi" w:eastAsia="Times" w:hAnsiTheme="minorHAnsi"/>
      <w:color w:val="121212" w:themeColor="background2"/>
      <w:sz w:val="24"/>
      <w:szCs w:val="24"/>
      <w:lang w:val="es-ES_tradnl"/>
    </w:rPr>
  </w:style>
  <w:style w:type="paragraph" w:customStyle="1" w:styleId="Textoportada">
    <w:name w:val="Texto portada"/>
    <w:qFormat/>
    <w:rsid w:val="00D351AB"/>
    <w:pPr>
      <w:spacing w:after="240" w:line="264" w:lineRule="auto"/>
    </w:pPr>
    <w:rPr>
      <w:rFonts w:asciiTheme="majorHAnsi" w:eastAsia="Times" w:hAnsiTheme="majorHAnsi" w:cs="Arial"/>
      <w:noProof/>
      <w:color w:val="121212" w:themeColor="background2"/>
      <w:szCs w:val="22"/>
    </w:rPr>
  </w:style>
  <w:style w:type="paragraph" w:styleId="Textodeglobo">
    <w:name w:val="Balloon Text"/>
    <w:basedOn w:val="Normal"/>
    <w:link w:val="TextodegloboCar"/>
    <w:uiPriority w:val="99"/>
    <w:semiHidden/>
    <w:unhideWhenUsed/>
    <w:rsid w:val="00CD04DD"/>
    <w:rPr>
      <w:rFonts w:ascii="Lucida Grande" w:hAnsi="Lucida Grande"/>
      <w:szCs w:val="18"/>
    </w:rPr>
  </w:style>
  <w:style w:type="character" w:customStyle="1" w:styleId="TextodegloboCar">
    <w:name w:val="Texto de globo Car"/>
    <w:link w:val="Textodeglobo"/>
    <w:uiPriority w:val="99"/>
    <w:semiHidden/>
    <w:rsid w:val="00CD04DD"/>
    <w:rPr>
      <w:rFonts w:ascii="Lucida Grande" w:hAnsi="Lucida Grande"/>
      <w:sz w:val="18"/>
      <w:szCs w:val="18"/>
    </w:rPr>
  </w:style>
  <w:style w:type="paragraph" w:customStyle="1" w:styleId="piedepagina">
    <w:name w:val="pie de pagina"/>
    <w:basedOn w:val="Normal"/>
    <w:autoRedefine/>
    <w:rsid w:val="00781CEB"/>
    <w:pPr>
      <w:ind w:right="95"/>
      <w:jc w:val="right"/>
    </w:pPr>
    <w:rPr>
      <w:color w:val="1973B8" w:themeColor="accent1"/>
    </w:rPr>
  </w:style>
  <w:style w:type="table" w:styleId="Tablaconcuadrcula">
    <w:name w:val="Table Grid"/>
    <w:basedOn w:val="Tablanormal"/>
    <w:uiPriority w:val="59"/>
    <w:rsid w:val="00DC79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echacabecera">
    <w:name w:val="Fecha_cabecera"/>
    <w:qFormat/>
    <w:rsid w:val="00F03373"/>
    <w:pPr>
      <w:jc w:val="right"/>
    </w:pPr>
    <w:rPr>
      <w:rFonts w:asciiTheme="majorHAnsi" w:eastAsia="Times" w:hAnsiTheme="majorHAnsi" w:cstheme="minorHAnsi"/>
      <w:color w:val="666666"/>
      <w:lang w:val="es-ES_tradnl"/>
    </w:rPr>
  </w:style>
  <w:style w:type="paragraph" w:customStyle="1" w:styleId="Nombredoc">
    <w:name w:val="Nombre_doc"/>
    <w:qFormat/>
    <w:rsid w:val="00AD03A4"/>
    <w:pPr>
      <w:spacing w:before="240"/>
      <w:jc w:val="right"/>
    </w:pPr>
    <w:rPr>
      <w:rFonts w:asciiTheme="minorHAnsi" w:eastAsia="Times" w:hAnsiTheme="minorHAnsi" w:cstheme="minorHAnsi"/>
      <w:noProof/>
      <w:color w:val="02A5A5"/>
      <w:sz w:val="32"/>
      <w:szCs w:val="28"/>
    </w:rPr>
  </w:style>
  <w:style w:type="paragraph" w:customStyle="1" w:styleId="Ttuloprincipal">
    <w:name w:val="Título_principal"/>
    <w:qFormat/>
    <w:rsid w:val="0046638C"/>
    <w:pPr>
      <w:tabs>
        <w:tab w:val="left" w:pos="-4111"/>
      </w:tabs>
      <w:spacing w:after="120"/>
      <w:ind w:right="142"/>
    </w:pPr>
    <w:rPr>
      <w:rFonts w:asciiTheme="majorHAnsi" w:eastAsia="Times" w:hAnsiTheme="majorHAnsi"/>
      <w:color w:val="2DCCCD" w:themeColor="accent3"/>
      <w:sz w:val="40"/>
      <w:szCs w:val="48"/>
    </w:rPr>
  </w:style>
  <w:style w:type="paragraph" w:customStyle="1" w:styleId="Link">
    <w:name w:val="Link"/>
    <w:basedOn w:val="Normal"/>
    <w:qFormat/>
    <w:rsid w:val="00A63F95"/>
    <w:pPr>
      <w:widowControl/>
      <w:autoSpaceDE/>
      <w:autoSpaceDN/>
      <w:adjustRightInd/>
      <w:spacing w:before="60" w:after="0"/>
      <w:ind w:right="0"/>
      <w:jc w:val="right"/>
    </w:pPr>
    <w:rPr>
      <w:b/>
      <w:color w:val="49A5E6"/>
      <w:sz w:val="14"/>
      <w:szCs w:val="14"/>
      <w:lang w:val="en-US"/>
    </w:rPr>
  </w:style>
  <w:style w:type="character" w:customStyle="1" w:styleId="Ttulo1Car">
    <w:name w:val="Título 1 Car"/>
    <w:basedOn w:val="Fuentedeprrafopredeter"/>
    <w:link w:val="Ttulo1"/>
    <w:uiPriority w:val="9"/>
    <w:rsid w:val="00AA711D"/>
    <w:rPr>
      <w:rFonts w:asciiTheme="minorHAnsi" w:eastAsia="Times" w:hAnsiTheme="minorHAnsi" w:cs="Arial"/>
      <w:b/>
      <w:noProof/>
      <w:color w:val="004481" w:themeColor="text1"/>
      <w:sz w:val="22"/>
      <w:szCs w:val="24"/>
      <w:lang w:val="en-US"/>
    </w:rPr>
  </w:style>
  <w:style w:type="paragraph" w:customStyle="1" w:styleId="Ttulointerior">
    <w:name w:val="Título interior"/>
    <w:basedOn w:val="Ttulo1"/>
    <w:rsid w:val="00A74331"/>
    <w:rPr>
      <w:b w:val="0"/>
      <w:color w:val="072146" w:themeColor="accent4"/>
      <w:sz w:val="36"/>
    </w:rPr>
  </w:style>
  <w:style w:type="paragraph" w:customStyle="1" w:styleId="Textodestacado">
    <w:name w:val="Texto_destacado"/>
    <w:qFormat/>
    <w:rsid w:val="00F770D7"/>
    <w:pPr>
      <w:spacing w:line="264" w:lineRule="auto"/>
    </w:pPr>
    <w:rPr>
      <w:rFonts w:asciiTheme="majorHAnsi" w:eastAsia="Times" w:hAnsiTheme="majorHAnsi" w:cs="Arial"/>
      <w:color w:val="072146" w:themeColor="accent4"/>
      <w:sz w:val="22"/>
      <w:szCs w:val="22"/>
      <w:lang w:val="es-ES_tradnl"/>
    </w:rPr>
  </w:style>
  <w:style w:type="character" w:customStyle="1" w:styleId="Ttulo2Car">
    <w:name w:val="Título 2 Car"/>
    <w:basedOn w:val="Fuentedeprrafopredeter"/>
    <w:link w:val="Ttulo2"/>
    <w:uiPriority w:val="9"/>
    <w:rsid w:val="0007249D"/>
    <w:rPr>
      <w:rFonts w:asciiTheme="majorHAnsi" w:eastAsiaTheme="majorEastAsia" w:hAnsiTheme="majorHAnsi" w:cstheme="majorBidi"/>
      <w:bCs/>
      <w:noProof/>
      <w:color w:val="1464A5" w:themeColor="text2"/>
      <w:sz w:val="24"/>
      <w:szCs w:val="26"/>
    </w:rPr>
  </w:style>
  <w:style w:type="paragraph" w:styleId="Prrafodelista">
    <w:name w:val="List Paragraph"/>
    <w:basedOn w:val="Normal"/>
    <w:uiPriority w:val="34"/>
    <w:qFormat/>
    <w:rsid w:val="0099539A"/>
    <w:pPr>
      <w:spacing w:before="120" w:after="360"/>
      <w:ind w:left="720"/>
    </w:pPr>
    <w:rPr>
      <w:color w:val="666667"/>
    </w:rPr>
  </w:style>
  <w:style w:type="paragraph" w:styleId="Piedepgina">
    <w:name w:val="footer"/>
    <w:basedOn w:val="Normal"/>
    <w:link w:val="PiedepginaCar"/>
    <w:uiPriority w:val="99"/>
    <w:unhideWhenUsed/>
    <w:rsid w:val="00710EB2"/>
    <w:pPr>
      <w:tabs>
        <w:tab w:val="center" w:pos="4513"/>
        <w:tab w:val="right" w:pos="9026"/>
      </w:tabs>
      <w:spacing w:after="0"/>
    </w:pPr>
  </w:style>
  <w:style w:type="character" w:customStyle="1" w:styleId="PiedepginaCar">
    <w:name w:val="Pie de página Car"/>
    <w:basedOn w:val="Fuentedeprrafopredeter"/>
    <w:link w:val="Piedepgina"/>
    <w:uiPriority w:val="99"/>
    <w:rsid w:val="00710EB2"/>
    <w:rPr>
      <w:rFonts w:asciiTheme="minorHAnsi" w:eastAsia="Times" w:hAnsiTheme="minorHAnsi" w:cs="Arial"/>
      <w:color w:val="666666"/>
      <w:sz w:val="24"/>
      <w:szCs w:val="24"/>
      <w:lang w:val="en-US" w:eastAsia="es-ES_tradnl"/>
    </w:rPr>
  </w:style>
  <w:style w:type="paragraph" w:styleId="NormalWeb">
    <w:name w:val="Normal (Web)"/>
    <w:basedOn w:val="Normal"/>
    <w:uiPriority w:val="99"/>
    <w:semiHidden/>
    <w:unhideWhenUsed/>
    <w:rsid w:val="00007D5D"/>
    <w:pPr>
      <w:widowControl/>
      <w:autoSpaceDE/>
      <w:autoSpaceDN/>
      <w:adjustRightInd/>
      <w:spacing w:before="100" w:beforeAutospacing="1" w:after="100" w:afterAutospacing="1"/>
      <w:ind w:right="0"/>
    </w:pPr>
    <w:rPr>
      <w:rFonts w:ascii="Times New Roman" w:eastAsiaTheme="minorEastAsia" w:hAnsi="Times New Roman" w:cs="Times New Roman"/>
      <w:color w:val="auto"/>
      <w:sz w:val="24"/>
    </w:rPr>
  </w:style>
  <w:style w:type="paragraph" w:customStyle="1" w:styleId="destacado">
    <w:name w:val="destacado"/>
    <w:qFormat/>
    <w:rsid w:val="008C32E3"/>
    <w:pPr>
      <w:pBdr>
        <w:left w:val="single" w:sz="4" w:space="3" w:color="D3D3D3"/>
      </w:pBdr>
      <w:ind w:left="113"/>
    </w:pPr>
    <w:rPr>
      <w:rFonts w:asciiTheme="majorHAnsi" w:eastAsia="Times" w:hAnsiTheme="majorHAnsi" w:cs="Arial"/>
      <w:noProof/>
      <w:color w:val="02A5A5"/>
      <w:szCs w:val="24"/>
    </w:rPr>
  </w:style>
  <w:style w:type="character" w:styleId="Hipervnculo">
    <w:name w:val="Hyperlink"/>
    <w:basedOn w:val="Fuentedeprrafopredeter"/>
    <w:unhideWhenUsed/>
    <w:rsid w:val="00270DCC"/>
    <w:rPr>
      <w:color w:val="004481" w:themeColor="hyperlink"/>
      <w:u w:val="single"/>
    </w:rPr>
  </w:style>
  <w:style w:type="paragraph" w:customStyle="1" w:styleId="vinculoinforme">
    <w:name w:val="vinculo informe"/>
    <w:qFormat/>
    <w:rsid w:val="00270DCC"/>
    <w:pPr>
      <w:spacing w:line="252" w:lineRule="auto"/>
    </w:pPr>
    <w:rPr>
      <w:rFonts w:asciiTheme="majorHAnsi" w:eastAsia="Times" w:hAnsiTheme="majorHAnsi" w:cs="Arial"/>
      <w:noProof/>
      <w:color w:val="1973B8" w:themeColor="accent1"/>
      <w:spacing w:val="-4"/>
      <w:sz w:val="18"/>
      <w:szCs w:val="24"/>
    </w:rPr>
  </w:style>
  <w:style w:type="paragraph" w:customStyle="1" w:styleId="antetitulo">
    <w:name w:val="antetitulo"/>
    <w:qFormat/>
    <w:rsid w:val="0046638C"/>
    <w:pPr>
      <w:spacing w:after="80"/>
    </w:pPr>
    <w:rPr>
      <w:rFonts w:asciiTheme="majorHAnsi" w:eastAsia="Times" w:hAnsiTheme="majorHAnsi" w:cs="Arial"/>
      <w:noProof/>
      <w:color w:val="072146" w:themeColor="accent4"/>
      <w:sz w:val="18"/>
      <w:szCs w:val="24"/>
    </w:rPr>
  </w:style>
  <w:style w:type="character" w:styleId="Refdecomentario">
    <w:name w:val="annotation reference"/>
    <w:basedOn w:val="Fuentedeprrafopredeter"/>
    <w:uiPriority w:val="99"/>
    <w:semiHidden/>
    <w:unhideWhenUsed/>
    <w:rsid w:val="00506A43"/>
    <w:rPr>
      <w:sz w:val="16"/>
      <w:szCs w:val="16"/>
    </w:rPr>
  </w:style>
  <w:style w:type="paragraph" w:styleId="Textocomentario">
    <w:name w:val="annotation text"/>
    <w:basedOn w:val="Normal"/>
    <w:link w:val="TextocomentarioCar"/>
    <w:uiPriority w:val="99"/>
    <w:unhideWhenUsed/>
    <w:rsid w:val="00506A43"/>
    <w:rPr>
      <w:sz w:val="20"/>
      <w:szCs w:val="20"/>
    </w:rPr>
  </w:style>
  <w:style w:type="character" w:customStyle="1" w:styleId="TextocomentarioCar">
    <w:name w:val="Texto comentario Car"/>
    <w:basedOn w:val="Fuentedeprrafopredeter"/>
    <w:link w:val="Textocomentario"/>
    <w:uiPriority w:val="99"/>
    <w:rsid w:val="00506A43"/>
    <w:rPr>
      <w:rFonts w:asciiTheme="minorHAnsi" w:eastAsia="Times" w:hAnsiTheme="minorHAnsi" w:cs="Arial"/>
      <w:noProof/>
      <w:color w:val="666666"/>
      <w:spacing w:val="-3"/>
    </w:rPr>
  </w:style>
  <w:style w:type="paragraph" w:styleId="Asuntodelcomentario">
    <w:name w:val="annotation subject"/>
    <w:basedOn w:val="Textocomentario"/>
    <w:next w:val="Textocomentario"/>
    <w:link w:val="AsuntodelcomentarioCar"/>
    <w:uiPriority w:val="99"/>
    <w:semiHidden/>
    <w:unhideWhenUsed/>
    <w:rsid w:val="00506A43"/>
    <w:rPr>
      <w:b/>
      <w:bCs/>
    </w:rPr>
  </w:style>
  <w:style w:type="character" w:customStyle="1" w:styleId="AsuntodelcomentarioCar">
    <w:name w:val="Asunto del comentario Car"/>
    <w:basedOn w:val="TextocomentarioCar"/>
    <w:link w:val="Asuntodelcomentario"/>
    <w:uiPriority w:val="99"/>
    <w:semiHidden/>
    <w:rsid w:val="00506A43"/>
    <w:rPr>
      <w:rFonts w:asciiTheme="minorHAnsi" w:eastAsia="Times" w:hAnsiTheme="minorHAnsi" w:cs="Arial"/>
      <w:b/>
      <w:bCs/>
      <w:noProof/>
      <w:color w:val="666666"/>
      <w:spacing w:val="-3"/>
    </w:rPr>
  </w:style>
  <w:style w:type="paragraph" w:styleId="Revisin">
    <w:name w:val="Revision"/>
    <w:hidden/>
    <w:uiPriority w:val="99"/>
    <w:semiHidden/>
    <w:rsid w:val="00774CB4"/>
    <w:rPr>
      <w:rFonts w:asciiTheme="minorHAnsi" w:eastAsia="Times" w:hAnsiTheme="minorHAnsi" w:cs="Arial"/>
      <w:noProof/>
      <w:color w:val="666666"/>
      <w:spacing w:val="-3"/>
      <w:sz w:val="18"/>
      <w:szCs w:val="24"/>
    </w:rPr>
  </w:style>
  <w:style w:type="paragraph" w:styleId="Textonotapie">
    <w:name w:val="footnote text"/>
    <w:basedOn w:val="Normal"/>
    <w:link w:val="TextonotapieCar"/>
    <w:uiPriority w:val="99"/>
    <w:semiHidden/>
    <w:unhideWhenUsed/>
    <w:rsid w:val="0093324F"/>
    <w:pPr>
      <w:spacing w:after="0"/>
    </w:pPr>
    <w:rPr>
      <w:sz w:val="20"/>
      <w:szCs w:val="20"/>
    </w:rPr>
  </w:style>
  <w:style w:type="character" w:customStyle="1" w:styleId="TextonotapieCar">
    <w:name w:val="Texto nota pie Car"/>
    <w:basedOn w:val="Fuentedeprrafopredeter"/>
    <w:link w:val="Textonotapie"/>
    <w:uiPriority w:val="99"/>
    <w:semiHidden/>
    <w:rsid w:val="0093324F"/>
    <w:rPr>
      <w:rFonts w:asciiTheme="minorHAnsi" w:eastAsia="Times" w:hAnsiTheme="minorHAnsi" w:cs="Arial"/>
      <w:noProof/>
      <w:color w:val="666666"/>
      <w:spacing w:val="-3"/>
    </w:rPr>
  </w:style>
  <w:style w:type="character" w:styleId="Refdenotaalpie">
    <w:name w:val="footnote reference"/>
    <w:basedOn w:val="Fuentedeprrafopredeter"/>
    <w:uiPriority w:val="99"/>
    <w:semiHidden/>
    <w:unhideWhenUsed/>
    <w:rsid w:val="0093324F"/>
    <w:rPr>
      <w:vertAlign w:val="superscript"/>
    </w:rPr>
  </w:style>
  <w:style w:type="character" w:customStyle="1" w:styleId="Mencinsinresolver1">
    <w:name w:val="Mención sin resolver1"/>
    <w:basedOn w:val="Fuentedeprrafopredeter"/>
    <w:uiPriority w:val="99"/>
    <w:semiHidden/>
    <w:unhideWhenUsed/>
    <w:rsid w:val="000F13E2"/>
    <w:rPr>
      <w:color w:val="605E5C"/>
      <w:shd w:val="clear" w:color="auto" w:fill="E1DFDD"/>
    </w:rPr>
  </w:style>
  <w:style w:type="character" w:customStyle="1" w:styleId="Mencinsinresolver2">
    <w:name w:val="Mención sin resolver2"/>
    <w:basedOn w:val="Fuentedeprrafopredeter"/>
    <w:uiPriority w:val="99"/>
    <w:semiHidden/>
    <w:unhideWhenUsed/>
    <w:rsid w:val="00316106"/>
    <w:rPr>
      <w:color w:val="605E5C"/>
      <w:shd w:val="clear" w:color="auto" w:fill="E1DFDD"/>
    </w:rPr>
  </w:style>
  <w:style w:type="character" w:styleId="Hipervnculovisitado">
    <w:name w:val="FollowedHyperlink"/>
    <w:basedOn w:val="Fuentedeprrafopredeter"/>
    <w:uiPriority w:val="99"/>
    <w:semiHidden/>
    <w:unhideWhenUsed/>
    <w:rsid w:val="001543A8"/>
    <w:rPr>
      <w:color w:val="072146" w:themeColor="followedHyperlink"/>
      <w:u w:val="single"/>
    </w:rPr>
  </w:style>
  <w:style w:type="character" w:customStyle="1" w:styleId="Mencinsinresolver3">
    <w:name w:val="Mención sin resolver3"/>
    <w:basedOn w:val="Fuentedeprrafopredeter"/>
    <w:uiPriority w:val="99"/>
    <w:semiHidden/>
    <w:unhideWhenUsed/>
    <w:rsid w:val="00776490"/>
    <w:rPr>
      <w:color w:val="605E5C"/>
      <w:shd w:val="clear" w:color="auto" w:fill="E1DFDD"/>
    </w:rPr>
  </w:style>
  <w:style w:type="character" w:styleId="Mencinsinresolver">
    <w:name w:val="Unresolved Mention"/>
    <w:basedOn w:val="Fuentedeprrafopredeter"/>
    <w:uiPriority w:val="99"/>
    <w:semiHidden/>
    <w:unhideWhenUsed/>
    <w:rsid w:val="00A525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4333">
      <w:bodyDiv w:val="1"/>
      <w:marLeft w:val="0"/>
      <w:marRight w:val="0"/>
      <w:marTop w:val="0"/>
      <w:marBottom w:val="0"/>
      <w:divBdr>
        <w:top w:val="none" w:sz="0" w:space="0" w:color="auto"/>
        <w:left w:val="none" w:sz="0" w:space="0" w:color="auto"/>
        <w:bottom w:val="none" w:sz="0" w:space="0" w:color="auto"/>
        <w:right w:val="none" w:sz="0" w:space="0" w:color="auto"/>
      </w:divBdr>
    </w:div>
    <w:div w:id="101154082">
      <w:bodyDiv w:val="1"/>
      <w:marLeft w:val="0"/>
      <w:marRight w:val="0"/>
      <w:marTop w:val="0"/>
      <w:marBottom w:val="0"/>
      <w:divBdr>
        <w:top w:val="none" w:sz="0" w:space="0" w:color="auto"/>
        <w:left w:val="none" w:sz="0" w:space="0" w:color="auto"/>
        <w:bottom w:val="none" w:sz="0" w:space="0" w:color="auto"/>
        <w:right w:val="none" w:sz="0" w:space="0" w:color="auto"/>
      </w:divBdr>
    </w:div>
    <w:div w:id="144906332">
      <w:bodyDiv w:val="1"/>
      <w:marLeft w:val="0"/>
      <w:marRight w:val="0"/>
      <w:marTop w:val="0"/>
      <w:marBottom w:val="0"/>
      <w:divBdr>
        <w:top w:val="none" w:sz="0" w:space="0" w:color="auto"/>
        <w:left w:val="none" w:sz="0" w:space="0" w:color="auto"/>
        <w:bottom w:val="none" w:sz="0" w:space="0" w:color="auto"/>
        <w:right w:val="none" w:sz="0" w:space="0" w:color="auto"/>
      </w:divBdr>
    </w:div>
    <w:div w:id="151026639">
      <w:bodyDiv w:val="1"/>
      <w:marLeft w:val="0"/>
      <w:marRight w:val="0"/>
      <w:marTop w:val="0"/>
      <w:marBottom w:val="0"/>
      <w:divBdr>
        <w:top w:val="none" w:sz="0" w:space="0" w:color="auto"/>
        <w:left w:val="none" w:sz="0" w:space="0" w:color="auto"/>
        <w:bottom w:val="none" w:sz="0" w:space="0" w:color="auto"/>
        <w:right w:val="none" w:sz="0" w:space="0" w:color="auto"/>
      </w:divBdr>
    </w:div>
    <w:div w:id="417022662">
      <w:bodyDiv w:val="1"/>
      <w:marLeft w:val="0"/>
      <w:marRight w:val="0"/>
      <w:marTop w:val="0"/>
      <w:marBottom w:val="0"/>
      <w:divBdr>
        <w:top w:val="none" w:sz="0" w:space="0" w:color="auto"/>
        <w:left w:val="none" w:sz="0" w:space="0" w:color="auto"/>
        <w:bottom w:val="none" w:sz="0" w:space="0" w:color="auto"/>
        <w:right w:val="none" w:sz="0" w:space="0" w:color="auto"/>
      </w:divBdr>
    </w:div>
    <w:div w:id="441455539">
      <w:bodyDiv w:val="1"/>
      <w:marLeft w:val="0"/>
      <w:marRight w:val="0"/>
      <w:marTop w:val="0"/>
      <w:marBottom w:val="0"/>
      <w:divBdr>
        <w:top w:val="none" w:sz="0" w:space="0" w:color="auto"/>
        <w:left w:val="none" w:sz="0" w:space="0" w:color="auto"/>
        <w:bottom w:val="none" w:sz="0" w:space="0" w:color="auto"/>
        <w:right w:val="none" w:sz="0" w:space="0" w:color="auto"/>
      </w:divBdr>
    </w:div>
    <w:div w:id="555312458">
      <w:bodyDiv w:val="1"/>
      <w:marLeft w:val="0"/>
      <w:marRight w:val="0"/>
      <w:marTop w:val="0"/>
      <w:marBottom w:val="0"/>
      <w:divBdr>
        <w:top w:val="none" w:sz="0" w:space="0" w:color="auto"/>
        <w:left w:val="none" w:sz="0" w:space="0" w:color="auto"/>
        <w:bottom w:val="none" w:sz="0" w:space="0" w:color="auto"/>
        <w:right w:val="none" w:sz="0" w:space="0" w:color="auto"/>
      </w:divBdr>
    </w:div>
    <w:div w:id="620458411">
      <w:bodyDiv w:val="1"/>
      <w:marLeft w:val="0"/>
      <w:marRight w:val="0"/>
      <w:marTop w:val="0"/>
      <w:marBottom w:val="0"/>
      <w:divBdr>
        <w:top w:val="none" w:sz="0" w:space="0" w:color="auto"/>
        <w:left w:val="none" w:sz="0" w:space="0" w:color="auto"/>
        <w:bottom w:val="none" w:sz="0" w:space="0" w:color="auto"/>
        <w:right w:val="none" w:sz="0" w:space="0" w:color="auto"/>
      </w:divBdr>
    </w:div>
    <w:div w:id="654728387">
      <w:bodyDiv w:val="1"/>
      <w:marLeft w:val="0"/>
      <w:marRight w:val="0"/>
      <w:marTop w:val="0"/>
      <w:marBottom w:val="0"/>
      <w:divBdr>
        <w:top w:val="none" w:sz="0" w:space="0" w:color="auto"/>
        <w:left w:val="none" w:sz="0" w:space="0" w:color="auto"/>
        <w:bottom w:val="none" w:sz="0" w:space="0" w:color="auto"/>
        <w:right w:val="none" w:sz="0" w:space="0" w:color="auto"/>
      </w:divBdr>
    </w:div>
    <w:div w:id="699819833">
      <w:bodyDiv w:val="1"/>
      <w:marLeft w:val="0"/>
      <w:marRight w:val="0"/>
      <w:marTop w:val="0"/>
      <w:marBottom w:val="0"/>
      <w:divBdr>
        <w:top w:val="none" w:sz="0" w:space="0" w:color="auto"/>
        <w:left w:val="none" w:sz="0" w:space="0" w:color="auto"/>
        <w:bottom w:val="none" w:sz="0" w:space="0" w:color="auto"/>
        <w:right w:val="none" w:sz="0" w:space="0" w:color="auto"/>
      </w:divBdr>
    </w:div>
    <w:div w:id="928738281">
      <w:bodyDiv w:val="1"/>
      <w:marLeft w:val="0"/>
      <w:marRight w:val="0"/>
      <w:marTop w:val="0"/>
      <w:marBottom w:val="0"/>
      <w:divBdr>
        <w:top w:val="none" w:sz="0" w:space="0" w:color="auto"/>
        <w:left w:val="none" w:sz="0" w:space="0" w:color="auto"/>
        <w:bottom w:val="none" w:sz="0" w:space="0" w:color="auto"/>
        <w:right w:val="none" w:sz="0" w:space="0" w:color="auto"/>
      </w:divBdr>
    </w:div>
    <w:div w:id="1011031566">
      <w:bodyDiv w:val="1"/>
      <w:marLeft w:val="0"/>
      <w:marRight w:val="0"/>
      <w:marTop w:val="0"/>
      <w:marBottom w:val="0"/>
      <w:divBdr>
        <w:top w:val="none" w:sz="0" w:space="0" w:color="auto"/>
        <w:left w:val="none" w:sz="0" w:space="0" w:color="auto"/>
        <w:bottom w:val="none" w:sz="0" w:space="0" w:color="auto"/>
        <w:right w:val="none" w:sz="0" w:space="0" w:color="auto"/>
      </w:divBdr>
    </w:div>
    <w:div w:id="1054964566">
      <w:bodyDiv w:val="1"/>
      <w:marLeft w:val="0"/>
      <w:marRight w:val="0"/>
      <w:marTop w:val="0"/>
      <w:marBottom w:val="0"/>
      <w:divBdr>
        <w:top w:val="none" w:sz="0" w:space="0" w:color="auto"/>
        <w:left w:val="none" w:sz="0" w:space="0" w:color="auto"/>
        <w:bottom w:val="none" w:sz="0" w:space="0" w:color="auto"/>
        <w:right w:val="none" w:sz="0" w:space="0" w:color="auto"/>
      </w:divBdr>
    </w:div>
    <w:div w:id="1067536267">
      <w:bodyDiv w:val="1"/>
      <w:marLeft w:val="0"/>
      <w:marRight w:val="0"/>
      <w:marTop w:val="0"/>
      <w:marBottom w:val="0"/>
      <w:divBdr>
        <w:top w:val="none" w:sz="0" w:space="0" w:color="auto"/>
        <w:left w:val="none" w:sz="0" w:space="0" w:color="auto"/>
        <w:bottom w:val="none" w:sz="0" w:space="0" w:color="auto"/>
        <w:right w:val="none" w:sz="0" w:space="0" w:color="auto"/>
      </w:divBdr>
    </w:div>
    <w:div w:id="1109280319">
      <w:bodyDiv w:val="1"/>
      <w:marLeft w:val="0"/>
      <w:marRight w:val="0"/>
      <w:marTop w:val="0"/>
      <w:marBottom w:val="0"/>
      <w:divBdr>
        <w:top w:val="none" w:sz="0" w:space="0" w:color="auto"/>
        <w:left w:val="none" w:sz="0" w:space="0" w:color="auto"/>
        <w:bottom w:val="none" w:sz="0" w:space="0" w:color="auto"/>
        <w:right w:val="none" w:sz="0" w:space="0" w:color="auto"/>
      </w:divBdr>
    </w:div>
    <w:div w:id="1223830107">
      <w:bodyDiv w:val="1"/>
      <w:marLeft w:val="0"/>
      <w:marRight w:val="0"/>
      <w:marTop w:val="0"/>
      <w:marBottom w:val="0"/>
      <w:divBdr>
        <w:top w:val="none" w:sz="0" w:space="0" w:color="auto"/>
        <w:left w:val="none" w:sz="0" w:space="0" w:color="auto"/>
        <w:bottom w:val="none" w:sz="0" w:space="0" w:color="auto"/>
        <w:right w:val="none" w:sz="0" w:space="0" w:color="auto"/>
      </w:divBdr>
    </w:div>
    <w:div w:id="1253078419">
      <w:bodyDiv w:val="1"/>
      <w:marLeft w:val="0"/>
      <w:marRight w:val="0"/>
      <w:marTop w:val="0"/>
      <w:marBottom w:val="0"/>
      <w:divBdr>
        <w:top w:val="none" w:sz="0" w:space="0" w:color="auto"/>
        <w:left w:val="none" w:sz="0" w:space="0" w:color="auto"/>
        <w:bottom w:val="none" w:sz="0" w:space="0" w:color="auto"/>
        <w:right w:val="none" w:sz="0" w:space="0" w:color="auto"/>
      </w:divBdr>
    </w:div>
    <w:div w:id="1525703364">
      <w:bodyDiv w:val="1"/>
      <w:marLeft w:val="0"/>
      <w:marRight w:val="0"/>
      <w:marTop w:val="0"/>
      <w:marBottom w:val="0"/>
      <w:divBdr>
        <w:top w:val="none" w:sz="0" w:space="0" w:color="auto"/>
        <w:left w:val="none" w:sz="0" w:space="0" w:color="auto"/>
        <w:bottom w:val="none" w:sz="0" w:space="0" w:color="auto"/>
        <w:right w:val="none" w:sz="0" w:space="0" w:color="auto"/>
      </w:divBdr>
    </w:div>
    <w:div w:id="1606185600">
      <w:bodyDiv w:val="1"/>
      <w:marLeft w:val="0"/>
      <w:marRight w:val="0"/>
      <w:marTop w:val="0"/>
      <w:marBottom w:val="0"/>
      <w:divBdr>
        <w:top w:val="none" w:sz="0" w:space="0" w:color="auto"/>
        <w:left w:val="none" w:sz="0" w:space="0" w:color="auto"/>
        <w:bottom w:val="none" w:sz="0" w:space="0" w:color="auto"/>
        <w:right w:val="none" w:sz="0" w:space="0" w:color="auto"/>
      </w:divBdr>
    </w:div>
    <w:div w:id="1704863058">
      <w:bodyDiv w:val="1"/>
      <w:marLeft w:val="0"/>
      <w:marRight w:val="0"/>
      <w:marTop w:val="0"/>
      <w:marBottom w:val="0"/>
      <w:divBdr>
        <w:top w:val="none" w:sz="0" w:space="0" w:color="auto"/>
        <w:left w:val="none" w:sz="0" w:space="0" w:color="auto"/>
        <w:bottom w:val="none" w:sz="0" w:space="0" w:color="auto"/>
        <w:right w:val="none" w:sz="0" w:space="0" w:color="auto"/>
      </w:divBdr>
    </w:div>
    <w:div w:id="1715353647">
      <w:bodyDiv w:val="1"/>
      <w:marLeft w:val="0"/>
      <w:marRight w:val="0"/>
      <w:marTop w:val="0"/>
      <w:marBottom w:val="0"/>
      <w:divBdr>
        <w:top w:val="none" w:sz="0" w:space="0" w:color="auto"/>
        <w:left w:val="none" w:sz="0" w:space="0" w:color="auto"/>
        <w:bottom w:val="none" w:sz="0" w:space="0" w:color="auto"/>
        <w:right w:val="none" w:sz="0" w:space="0" w:color="auto"/>
      </w:divBdr>
    </w:div>
    <w:div w:id="1723095712">
      <w:bodyDiv w:val="1"/>
      <w:marLeft w:val="0"/>
      <w:marRight w:val="0"/>
      <w:marTop w:val="0"/>
      <w:marBottom w:val="0"/>
      <w:divBdr>
        <w:top w:val="none" w:sz="0" w:space="0" w:color="auto"/>
        <w:left w:val="none" w:sz="0" w:space="0" w:color="auto"/>
        <w:bottom w:val="none" w:sz="0" w:space="0" w:color="auto"/>
        <w:right w:val="none" w:sz="0" w:space="0" w:color="auto"/>
      </w:divBdr>
    </w:div>
    <w:div w:id="2078626065">
      <w:bodyDiv w:val="1"/>
      <w:marLeft w:val="0"/>
      <w:marRight w:val="0"/>
      <w:marTop w:val="0"/>
      <w:marBottom w:val="0"/>
      <w:divBdr>
        <w:top w:val="none" w:sz="0" w:space="0" w:color="auto"/>
        <w:left w:val="none" w:sz="0" w:space="0" w:color="auto"/>
        <w:bottom w:val="none" w:sz="0" w:space="0" w:color="auto"/>
        <w:right w:val="none" w:sz="0" w:space="0" w:color="auto"/>
      </w:divBdr>
    </w:div>
    <w:div w:id="21202500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fbbva.es/wp-content/uploads/2025/05/G3_Esenciales2_2025.xlsx" TargetMode="External"/><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https://www.fbbva.es/wp-content/uploads/2025/05/G5_Esenciales2_2025.xlsx" TargetMode="Externa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yperlink" Target="https://www.fbbva.es/wp-content/uploads/2025/05/G4_Esenciales2_2025.xlsx" TargetMode="External"/><Relationship Id="rId10" Type="http://schemas.openxmlformats.org/officeDocument/2006/relationships/header" Target="head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3.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fbbva.es/publicaciones/diversidad-y-descentralizacion-sistema-nacional-salud-espanol-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wmf"/><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2" Type="http://schemas.openxmlformats.org/officeDocument/2006/relationships/image" Target="media/image8.wmf"/><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2" Type="http://schemas.openxmlformats.org/officeDocument/2006/relationships/image" Target="media/image8.wmf"/><Relationship Id="rId1" Type="http://schemas.openxmlformats.org/officeDocument/2006/relationships/image" Target="media/image7.jpeg"/></Relationships>
</file>

<file path=word/_rels/header4.xml.rels><?xml version="1.0" encoding="UTF-8" standalone="yes"?>
<Relationships xmlns="http://schemas.openxmlformats.org/package/2006/relationships"><Relationship Id="rId2" Type="http://schemas.openxmlformats.org/officeDocument/2006/relationships/image" Target="media/image8.wmf"/><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045433\Documents\01_TRABAJO\02_COMMUNICATIONS\2019\ED0181_Plantilla%20NP%20Resultados_Marta%20Pardo_15jul19\Nota%20de%20prensa%20NB_edi.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nasserver.ivie.local\usuarios\smolla\Trabajo\2024_Esenciales\gr&#225;ficos.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nasserver.ivie.local\edicion\BBVA_P150600-FBBVA-IvieEsenciales\Clave61_inversionsanidad_SilviaMolla\graficos\G2.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3.xml.rels><?xml version="1.0" encoding="UTF-8" standalone="yes"?>
<Relationships xmlns="http://schemas.openxmlformats.org/package/2006/relationships"><Relationship Id="rId3" Type="http://schemas.openxmlformats.org/officeDocument/2006/relationships/oleObject" Target="file:///\\nasserver.ivie.local\edicion\BBVA_P150600-FBBVA-IvieEsenciales\Clave61_inversionsanidad_SilviaMolla\graficos\G3.xlsx" TargetMode="External"/><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oleObject" Target="file:///\\nasserver.ivie.local\edicion\BBVA_P150600-FBBVA-IvieEsenciales\Clave61_inversionsanidad_SilviaMolla\graficos\G4_Esenciales6_2024.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785108757956978E-2"/>
          <c:y val="0.12944321959755031"/>
          <c:w val="0.85506149966548295"/>
          <c:h val="0.66663027121609786"/>
        </c:manualLayout>
      </c:layout>
      <c:lineChart>
        <c:grouping val="standard"/>
        <c:varyColors val="0"/>
        <c:ser>
          <c:idx val="1"/>
          <c:order val="0"/>
          <c:tx>
            <c:strRef>
              <c:f>'G1'!$AD$7</c:f>
              <c:strCache>
                <c:ptCount val="1"/>
                <c:pt idx="0">
                  <c:v>AA. PP.</c:v>
                </c:pt>
              </c:strCache>
            </c:strRef>
          </c:tx>
          <c:spPr>
            <a:ln w="28575" cap="rnd">
              <a:solidFill>
                <a:schemeClr val="tx2"/>
              </a:solidFill>
              <a:round/>
            </a:ln>
            <a:effectLst/>
          </c:spPr>
          <c:marker>
            <c:symbol val="none"/>
          </c:marker>
          <c:cat>
            <c:numRef>
              <c:f>'G1'!$V$8:$V$27</c:f>
              <c:numCache>
                <c:formatCode>General</c:formatCod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numCache>
            </c:numRef>
          </c:cat>
          <c:val>
            <c:numRef>
              <c:f>'G1'!$AD$8:$AD$27</c:f>
              <c:numCache>
                <c:formatCode>0.0</c:formatCode>
                <c:ptCount val="20"/>
                <c:pt idx="0">
                  <c:v>100</c:v>
                </c:pt>
                <c:pt idx="1">
                  <c:v>105.35452171938167</c:v>
                </c:pt>
                <c:pt idx="2">
                  <c:v>112.49395303074392</c:v>
                </c:pt>
                <c:pt idx="3">
                  <c:v>121.01097779887138</c:v>
                </c:pt>
                <c:pt idx="4">
                  <c:v>127.47770490336043</c:v>
                </c:pt>
                <c:pt idx="5">
                  <c:v>136.44966131136547</c:v>
                </c:pt>
                <c:pt idx="6">
                  <c:v>142.93464030868444</c:v>
                </c:pt>
                <c:pt idx="7">
                  <c:v>139.67107199400181</c:v>
                </c:pt>
                <c:pt idx="8">
                  <c:v>133.47258254908348</c:v>
                </c:pt>
                <c:pt idx="9">
                  <c:v>128.63965030981217</c:v>
                </c:pt>
                <c:pt idx="10">
                  <c:v>123.60294744078138</c:v>
                </c:pt>
                <c:pt idx="11">
                  <c:v>125.26122155678716</c:v>
                </c:pt>
                <c:pt idx="12">
                  <c:v>132.23009323488796</c:v>
                </c:pt>
                <c:pt idx="13">
                  <c:v>132.8898370561725</c:v>
                </c:pt>
                <c:pt idx="14">
                  <c:v>133.83201527868047</c:v>
                </c:pt>
                <c:pt idx="15">
                  <c:v>137.23294908733783</c:v>
                </c:pt>
                <c:pt idx="16">
                  <c:v>142.5877489588442</c:v>
                </c:pt>
                <c:pt idx="17">
                  <c:v>159.9889501063488</c:v>
                </c:pt>
                <c:pt idx="18">
                  <c:v>165.15960657702283</c:v>
                </c:pt>
                <c:pt idx="19">
                  <c:v>170.90743001017714</c:v>
                </c:pt>
              </c:numCache>
            </c:numRef>
          </c:val>
          <c:smooth val="0"/>
          <c:extLst>
            <c:ext xmlns:c16="http://schemas.microsoft.com/office/drawing/2014/chart" uri="{C3380CC4-5D6E-409C-BE32-E72D297353CC}">
              <c16:uniqueId val="{00000000-99FD-4B02-8BB0-881682FE6AF1}"/>
            </c:ext>
          </c:extLst>
        </c:ser>
        <c:ser>
          <c:idx val="0"/>
          <c:order val="1"/>
          <c:tx>
            <c:strRef>
              <c:f>'G1'!$AE$7</c:f>
              <c:strCache>
                <c:ptCount val="1"/>
                <c:pt idx="0">
                  <c:v>Sector privado</c:v>
                </c:pt>
              </c:strCache>
            </c:strRef>
          </c:tx>
          <c:spPr>
            <a:ln>
              <a:solidFill>
                <a:schemeClr val="accent3"/>
              </a:solidFill>
            </a:ln>
          </c:spPr>
          <c:marker>
            <c:symbol val="none"/>
          </c:marker>
          <c:cat>
            <c:numRef>
              <c:f>'G1'!$V$8:$V$27</c:f>
              <c:numCache>
                <c:formatCode>General</c:formatCod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numCache>
            </c:numRef>
          </c:cat>
          <c:val>
            <c:numRef>
              <c:f>'G1'!$AE$8:$AE$27</c:f>
              <c:numCache>
                <c:formatCode>0.0</c:formatCode>
                <c:ptCount val="20"/>
                <c:pt idx="0">
                  <c:v>100</c:v>
                </c:pt>
                <c:pt idx="1">
                  <c:v>103.73099439451508</c:v>
                </c:pt>
                <c:pt idx="2">
                  <c:v>109.19422459208761</c:v>
                </c:pt>
                <c:pt idx="3">
                  <c:v>114.62502938236794</c:v>
                </c:pt>
                <c:pt idx="4">
                  <c:v>120.96931766292805</c:v>
                </c:pt>
                <c:pt idx="5">
                  <c:v>122.53781557178687</c:v>
                </c:pt>
                <c:pt idx="6">
                  <c:v>116.7023886415578</c:v>
                </c:pt>
                <c:pt idx="7">
                  <c:v>118.1575435254445</c:v>
                </c:pt>
                <c:pt idx="8">
                  <c:v>120.24621993226351</c:v>
                </c:pt>
                <c:pt idx="9">
                  <c:v>124.58827521986518</c:v>
                </c:pt>
                <c:pt idx="10">
                  <c:v>126.63097936263827</c:v>
                </c:pt>
                <c:pt idx="11">
                  <c:v>132.78536432204228</c:v>
                </c:pt>
                <c:pt idx="12">
                  <c:v>133.1808222835418</c:v>
                </c:pt>
                <c:pt idx="13">
                  <c:v>132.86876057812614</c:v>
                </c:pt>
                <c:pt idx="14">
                  <c:v>139.93506220547803</c:v>
                </c:pt>
                <c:pt idx="15">
                  <c:v>145.41091382432322</c:v>
                </c:pt>
                <c:pt idx="16">
                  <c:v>149.12795512045619</c:v>
                </c:pt>
                <c:pt idx="17">
                  <c:v>145.14138894953246</c:v>
                </c:pt>
                <c:pt idx="18">
                  <c:v>146.93992385621448</c:v>
                </c:pt>
                <c:pt idx="19">
                  <c:v>149.54368537904915</c:v>
                </c:pt>
              </c:numCache>
            </c:numRef>
          </c:val>
          <c:smooth val="0"/>
          <c:extLst>
            <c:ext xmlns:c16="http://schemas.microsoft.com/office/drawing/2014/chart" uri="{C3380CC4-5D6E-409C-BE32-E72D297353CC}">
              <c16:uniqueId val="{00000001-99FD-4B02-8BB0-881682FE6AF1}"/>
            </c:ext>
          </c:extLst>
        </c:ser>
        <c:dLbls>
          <c:showLegendKey val="0"/>
          <c:showVal val="0"/>
          <c:showCatName val="0"/>
          <c:showSerName val="0"/>
          <c:showPercent val="0"/>
          <c:showBubbleSize val="0"/>
        </c:dLbls>
        <c:smooth val="0"/>
        <c:axId val="1816056943"/>
        <c:axId val="1816053615"/>
      </c:lineChart>
      <c:catAx>
        <c:axId val="1816056943"/>
        <c:scaling>
          <c:orientation val="minMax"/>
        </c:scaling>
        <c:delete val="0"/>
        <c:axPos val="b"/>
        <c:numFmt formatCode="General" sourceLinked="1"/>
        <c:majorTickMark val="none"/>
        <c:minorTickMark val="none"/>
        <c:tickLblPos val="nextTo"/>
        <c:spPr>
          <a:noFill/>
          <a:ln w="9525" cap="flat" cmpd="sng" algn="ctr">
            <a:solidFill>
              <a:schemeClr val="bg1">
                <a:lumMod val="75000"/>
              </a:schemeClr>
            </a:solidFill>
            <a:round/>
          </a:ln>
          <a:effectLst/>
        </c:spPr>
        <c:txPr>
          <a:bodyPr rot="-5400000" spcFirstLastPara="1" vertOverflow="ellipsis" wrap="square" anchor="ctr" anchorCtr="1"/>
          <a:lstStyle/>
          <a:p>
            <a:pPr>
              <a:defRPr sz="600" b="0" i="0" u="none" strike="noStrike" kern="1200" baseline="0">
                <a:solidFill>
                  <a:srgbClr val="666666"/>
                </a:solidFill>
                <a:latin typeface="BBVABentonSansLight" panose="00000000000000020000" pitchFamily="2" charset="0"/>
                <a:ea typeface="+mn-ea"/>
                <a:cs typeface="+mn-cs"/>
              </a:defRPr>
            </a:pPr>
            <a:endParaRPr lang="es-ES"/>
          </a:p>
        </c:txPr>
        <c:crossAx val="1816053615"/>
        <c:crosses val="autoZero"/>
        <c:auto val="1"/>
        <c:lblAlgn val="ctr"/>
        <c:lblOffset val="100"/>
        <c:noMultiLvlLbl val="0"/>
      </c:catAx>
      <c:valAx>
        <c:axId val="1816053615"/>
        <c:scaling>
          <c:orientation val="minMax"/>
          <c:min val="80"/>
        </c:scaling>
        <c:delete val="0"/>
        <c:axPos val="l"/>
        <c:majorGridlines>
          <c:spPr>
            <a:ln w="9525" cap="flat" cmpd="sng" algn="ctr">
              <a:solidFill>
                <a:schemeClr val="bg1">
                  <a:lumMod val="7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rgbClr val="666666"/>
                </a:solidFill>
                <a:latin typeface="BBVABentonSansLight" panose="00000000000000020000" pitchFamily="2" charset="0"/>
                <a:ea typeface="+mn-ea"/>
                <a:cs typeface="+mn-cs"/>
              </a:defRPr>
            </a:pPr>
            <a:endParaRPr lang="es-ES"/>
          </a:p>
        </c:txPr>
        <c:crossAx val="1816056943"/>
        <c:crosses val="autoZero"/>
        <c:crossBetween val="between"/>
      </c:valAx>
    </c:plotArea>
    <c:legend>
      <c:legendPos val="b"/>
      <c:layout>
        <c:manualLayout>
          <c:xMode val="edge"/>
          <c:yMode val="edge"/>
          <c:x val="0.24860480675209717"/>
          <c:y val="0"/>
          <c:w val="0.56379222205067503"/>
          <c:h val="0.13327870818178184"/>
        </c:manualLayout>
      </c:layout>
      <c:overlay val="0"/>
    </c:legend>
    <c:plotVisOnly val="1"/>
    <c:dispBlanksAs val="gap"/>
    <c:showDLblsOverMax val="0"/>
  </c:chart>
  <c:spPr>
    <a:solidFill>
      <a:schemeClr val="bg1"/>
    </a:solidFill>
    <a:ln w="9525" cap="flat" cmpd="sng" algn="ctr">
      <a:noFill/>
      <a:round/>
    </a:ln>
    <a:effectLst/>
  </c:spPr>
  <c:txPr>
    <a:bodyPr/>
    <a:lstStyle/>
    <a:p>
      <a:pPr>
        <a:defRPr sz="600">
          <a:solidFill>
            <a:srgbClr val="666666"/>
          </a:solidFill>
          <a:latin typeface="BBVABentonSansLight" panose="00000000000000020000" pitchFamily="2" charset="0"/>
        </a:defRPr>
      </a:pPr>
      <a:endParaRPr lang="es-E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748587745213167"/>
          <c:y val="7.7601410934744264E-2"/>
          <c:w val="0.84934300794818229"/>
          <c:h val="0.71205599300087496"/>
        </c:manualLayout>
      </c:layout>
      <c:barChart>
        <c:barDir val="col"/>
        <c:grouping val="clustered"/>
        <c:varyColors val="0"/>
        <c:ser>
          <c:idx val="0"/>
          <c:order val="0"/>
          <c:spPr>
            <a:solidFill>
              <a:schemeClr val="accent1"/>
            </a:solidFill>
            <a:ln>
              <a:noFill/>
            </a:ln>
            <a:effectLst/>
          </c:spPr>
          <c:invertIfNegative val="0"/>
          <c:dLbls>
            <c:dLbl>
              <c:idx val="0"/>
              <c:layout>
                <c:manualLayout>
                  <c:x val="-1.7987756620436411E-17"/>
                  <c:y val="2.53164556962025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64D-4F44-B752-4BC64DAA7AF0}"/>
                </c:ext>
              </c:extLst>
            </c:dLbl>
            <c:spPr>
              <a:noFill/>
              <a:ln>
                <a:noFill/>
              </a:ln>
              <a:effectLst/>
            </c:spPr>
            <c:txPr>
              <a:bodyPr rot="0" spcFirstLastPara="1" vertOverflow="ellipsis" vert="horz" wrap="square" anchor="ctr" anchorCtr="1"/>
              <a:lstStyle/>
              <a:p>
                <a:pPr>
                  <a:defRPr sz="600" b="0" i="0" u="none" strike="noStrike" kern="1200" baseline="0">
                    <a:solidFill>
                      <a:schemeClr val="bg1">
                        <a:lumMod val="50000"/>
                      </a:schemeClr>
                    </a:solidFill>
                    <a:latin typeface="+mn-lt"/>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'[G2.xlsx]G2'!$A$9:$A$14</c:f>
              <c:strCache>
                <c:ptCount val="6"/>
                <c:pt idx="0">
                  <c:v>Aparatos y equipos terapéuticos</c:v>
                </c:pt>
                <c:pt idx="1">
                  <c:v>Seguros relacionados con la salud</c:v>
                </c:pt>
                <c:pt idx="2">
                  <c:v>Produc. farmacéuticos y otros produc. médicos</c:v>
                </c:pt>
                <c:pt idx="3">
                  <c:v>Serv. dentales</c:v>
                </c:pt>
                <c:pt idx="4">
                  <c:v>Serv. médicos y hospitalarios</c:v>
                </c:pt>
                <c:pt idx="5">
                  <c:v>Serv. médicos auxiliares (pruebas, rehabilitación…)</c:v>
                </c:pt>
              </c:strCache>
            </c:strRef>
          </c:cat>
          <c:val>
            <c:numRef>
              <c:f>'[G2.xlsx]G2'!$B$9:$B$14</c:f>
              <c:numCache>
                <c:formatCode>#,##0</c:formatCode>
                <c:ptCount val="6"/>
                <c:pt idx="0">
                  <c:v>181.64</c:v>
                </c:pt>
                <c:pt idx="1">
                  <c:v>130.66999999999999</c:v>
                </c:pt>
                <c:pt idx="2">
                  <c:v>115.69</c:v>
                </c:pt>
                <c:pt idx="3">
                  <c:v>88.14</c:v>
                </c:pt>
                <c:pt idx="4">
                  <c:v>68.34</c:v>
                </c:pt>
                <c:pt idx="5">
                  <c:v>46.06</c:v>
                </c:pt>
              </c:numCache>
            </c:numRef>
          </c:val>
          <c:extLst>
            <c:ext xmlns:c15="http://schemas.microsoft.com/office/drawing/2012/chart" uri="{02D57815-91ED-43cb-92C2-25804820EDAC}">
              <c15:filteredSeriesTitle>
                <c15:tx>
                  <c:strRef>
                    <c:extLst>
                      <c:ext uri="{02D57815-91ED-43cb-92C2-25804820EDAC}">
                        <c15:formulaRef>
                          <c15:sqref>'G2'!#REF!</c15:sqref>
                        </c15:formulaRef>
                      </c:ext>
                    </c:extLst>
                    <c:strCache>
                      <c:ptCount val="1"/>
                      <c:pt idx="0">
                        <c:v>#REF!</c:v>
                      </c:pt>
                    </c:strCache>
                  </c:strRef>
                </c15:tx>
              </c15:filteredSeriesTitle>
            </c:ext>
            <c:ext xmlns:c16="http://schemas.microsoft.com/office/drawing/2014/chart" uri="{C3380CC4-5D6E-409C-BE32-E72D297353CC}">
              <c16:uniqueId val="{00000000-2B9C-4B46-AB16-6B191DFEF746}"/>
            </c:ext>
          </c:extLst>
        </c:ser>
        <c:dLbls>
          <c:showLegendKey val="0"/>
          <c:showVal val="0"/>
          <c:showCatName val="0"/>
          <c:showSerName val="0"/>
          <c:showPercent val="0"/>
          <c:showBubbleSize val="0"/>
        </c:dLbls>
        <c:gapWidth val="219"/>
        <c:overlap val="-27"/>
        <c:axId val="1978059247"/>
        <c:axId val="1978033807"/>
      </c:barChart>
      <c:catAx>
        <c:axId val="1978059247"/>
        <c:scaling>
          <c:orientation val="minMax"/>
        </c:scaling>
        <c:delete val="0"/>
        <c:axPos val="b"/>
        <c:numFmt formatCode="General" sourceLinked="1"/>
        <c:majorTickMark val="none"/>
        <c:minorTickMark val="none"/>
        <c:tickLblPos val="nextTo"/>
        <c:spPr>
          <a:noFill/>
          <a:ln w="9525" cap="flat" cmpd="sng" algn="ctr">
            <a:solidFill>
              <a:schemeClr val="bg1">
                <a:lumMod val="75000"/>
              </a:schemeClr>
            </a:solidFill>
            <a:round/>
          </a:ln>
          <a:effectLst/>
        </c:spPr>
        <c:txPr>
          <a:bodyPr rot="-60000000" spcFirstLastPara="1" vertOverflow="ellipsis" vert="horz" wrap="square" anchor="ctr" anchorCtr="1"/>
          <a:lstStyle/>
          <a:p>
            <a:pPr>
              <a:defRPr sz="400" b="0" i="0" u="none" strike="noStrike" kern="1200" baseline="0">
                <a:solidFill>
                  <a:schemeClr val="bg1">
                    <a:lumMod val="50000"/>
                  </a:schemeClr>
                </a:solidFill>
                <a:latin typeface="+mn-lt"/>
                <a:ea typeface="+mn-ea"/>
                <a:cs typeface="+mn-cs"/>
              </a:defRPr>
            </a:pPr>
            <a:endParaRPr lang="es-ES"/>
          </a:p>
        </c:txPr>
        <c:crossAx val="1978033807"/>
        <c:crosses val="autoZero"/>
        <c:auto val="1"/>
        <c:lblAlgn val="ctr"/>
        <c:lblOffset val="100"/>
        <c:noMultiLvlLbl val="0"/>
      </c:catAx>
      <c:valAx>
        <c:axId val="1978033807"/>
        <c:scaling>
          <c:orientation val="minMax"/>
        </c:scaling>
        <c:delete val="0"/>
        <c:axPos val="l"/>
        <c:majorGridlines>
          <c:spPr>
            <a:ln w="9525" cap="flat" cmpd="sng" algn="ctr">
              <a:solidFill>
                <a:schemeClr val="bg1">
                  <a:lumMod val="7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bg1">
                    <a:lumMod val="50000"/>
                  </a:schemeClr>
                </a:solidFill>
                <a:latin typeface="+mn-lt"/>
                <a:ea typeface="+mn-ea"/>
                <a:cs typeface="+mn-cs"/>
              </a:defRPr>
            </a:pPr>
            <a:endParaRPr lang="es-ES"/>
          </a:p>
        </c:txPr>
        <c:crossAx val="197805924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600">
          <a:solidFill>
            <a:schemeClr val="bg1">
              <a:lumMod val="50000"/>
            </a:schemeClr>
          </a:solidFill>
        </a:defRPr>
      </a:pPr>
      <a:endParaRPr lang="es-ES"/>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6514299282877635E-2"/>
          <c:y val="0.11578466331848418"/>
          <c:w val="0.91754995786602123"/>
          <c:h val="0.68411362800402309"/>
        </c:manualLayout>
      </c:layout>
      <c:barChart>
        <c:barDir val="col"/>
        <c:grouping val="clustered"/>
        <c:varyColors val="0"/>
        <c:ser>
          <c:idx val="0"/>
          <c:order val="0"/>
          <c:tx>
            <c:strRef>
              <c:f>'[G3.xlsx]G3'!$B$8</c:f>
              <c:strCache>
                <c:ptCount val="1"/>
                <c:pt idx="0">
                  <c:v>2010</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bg1">
                        <a:lumMod val="50000"/>
                      </a:schemeClr>
                    </a:solidFill>
                    <a:latin typeface="+mn-lt"/>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'[G3.xlsx]G3'!$A$9:$A$14</c:f>
              <c:strCache>
                <c:ptCount val="6"/>
                <c:pt idx="0">
                  <c:v>Aparatos y equipos terapéuticos (gafas graduadas, audífonos…)</c:v>
                </c:pt>
                <c:pt idx="1">
                  <c:v>Seguros relacionados con la salud</c:v>
                </c:pt>
                <c:pt idx="2">
                  <c:v>Productos farmacéuticos y otros productos médicos</c:v>
                </c:pt>
                <c:pt idx="3">
                  <c:v>Serv. dentales</c:v>
                </c:pt>
                <c:pt idx="4">
                  <c:v>Serv. médicos y hospitalarios</c:v>
                </c:pt>
                <c:pt idx="5">
                  <c:v>Serv. médicos auxiliares (pruebas, rehabilitación…)</c:v>
                </c:pt>
              </c:strCache>
            </c:strRef>
          </c:cat>
          <c:val>
            <c:numRef>
              <c:f>'[G3.xlsx]G3'!$B$9:$B$14</c:f>
              <c:numCache>
                <c:formatCode>0.0</c:formatCode>
                <c:ptCount val="6"/>
                <c:pt idx="0">
                  <c:v>34.384555436620943</c:v>
                </c:pt>
                <c:pt idx="1">
                  <c:v>15.794516640906139</c:v>
                </c:pt>
                <c:pt idx="2">
                  <c:v>16.411071227697867</c:v>
                </c:pt>
                <c:pt idx="3">
                  <c:v>17.818150617800299</c:v>
                </c:pt>
                <c:pt idx="4">
                  <c:v>11.983196890759698</c:v>
                </c:pt>
                <c:pt idx="5">
                  <c:v>3.6085091862150511</c:v>
                </c:pt>
              </c:numCache>
            </c:numRef>
          </c:val>
          <c:extLst>
            <c:ext xmlns:c16="http://schemas.microsoft.com/office/drawing/2014/chart" uri="{C3380CC4-5D6E-409C-BE32-E72D297353CC}">
              <c16:uniqueId val="{00000000-6206-47B9-AC58-09FB5AF5FA25}"/>
            </c:ext>
          </c:extLst>
        </c:ser>
        <c:ser>
          <c:idx val="1"/>
          <c:order val="1"/>
          <c:tx>
            <c:strRef>
              <c:f>'[G3.xlsx]G3'!$C$8</c:f>
              <c:strCache>
                <c:ptCount val="1"/>
                <c:pt idx="0">
                  <c:v>2023</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bg1">
                        <a:lumMod val="50000"/>
                      </a:schemeClr>
                    </a:solidFill>
                    <a:latin typeface="+mn-lt"/>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'[G3.xlsx]G3'!$A$9:$A$14</c:f>
              <c:strCache>
                <c:ptCount val="6"/>
                <c:pt idx="0">
                  <c:v>Aparatos y equipos terapéuticos (gafas graduadas, audífonos…)</c:v>
                </c:pt>
                <c:pt idx="1">
                  <c:v>Seguros relacionados con la salud</c:v>
                </c:pt>
                <c:pt idx="2">
                  <c:v>Productos farmacéuticos y otros productos médicos</c:v>
                </c:pt>
                <c:pt idx="3">
                  <c:v>Serv. dentales</c:v>
                </c:pt>
                <c:pt idx="4">
                  <c:v>Serv. médicos y hospitalarios</c:v>
                </c:pt>
                <c:pt idx="5">
                  <c:v>Serv. médicos auxiliares (pruebas, rehabilitación…)</c:v>
                </c:pt>
              </c:strCache>
            </c:strRef>
          </c:cat>
          <c:val>
            <c:numRef>
              <c:f>'[G3.xlsx]G3'!$C$9:$C$14</c:f>
              <c:numCache>
                <c:formatCode>0.0</c:formatCode>
                <c:ptCount val="6"/>
                <c:pt idx="0">
                  <c:v>28.808028776565585</c:v>
                </c:pt>
                <c:pt idx="1">
                  <c:v>20.723251757067455</c:v>
                </c:pt>
                <c:pt idx="2">
                  <c:v>18.34675291757766</c:v>
                </c:pt>
                <c:pt idx="3">
                  <c:v>13.978408939747547</c:v>
                </c:pt>
                <c:pt idx="4">
                  <c:v>10.837996108813147</c:v>
                </c:pt>
                <c:pt idx="5">
                  <c:v>7.3055615002286132</c:v>
                </c:pt>
              </c:numCache>
            </c:numRef>
          </c:val>
          <c:extLst>
            <c:ext xmlns:c16="http://schemas.microsoft.com/office/drawing/2014/chart" uri="{C3380CC4-5D6E-409C-BE32-E72D297353CC}">
              <c16:uniqueId val="{00000001-6206-47B9-AC58-09FB5AF5FA25}"/>
            </c:ext>
          </c:extLst>
        </c:ser>
        <c:dLbls>
          <c:showLegendKey val="0"/>
          <c:showVal val="0"/>
          <c:showCatName val="0"/>
          <c:showSerName val="0"/>
          <c:showPercent val="0"/>
          <c:showBubbleSize val="0"/>
        </c:dLbls>
        <c:gapWidth val="219"/>
        <c:overlap val="-27"/>
        <c:axId val="1978092367"/>
        <c:axId val="1978075087"/>
      </c:barChart>
      <c:catAx>
        <c:axId val="1978092367"/>
        <c:scaling>
          <c:orientation val="minMax"/>
        </c:scaling>
        <c:delete val="0"/>
        <c:axPos val="b"/>
        <c:numFmt formatCode="General" sourceLinked="1"/>
        <c:majorTickMark val="none"/>
        <c:minorTickMark val="none"/>
        <c:tickLblPos val="nextTo"/>
        <c:spPr>
          <a:noFill/>
          <a:ln w="9525" cap="flat" cmpd="sng" algn="ctr">
            <a:solidFill>
              <a:schemeClr val="bg1">
                <a:lumMod val="75000"/>
              </a:schemeClr>
            </a:solidFill>
            <a:round/>
          </a:ln>
          <a:effectLst/>
        </c:spPr>
        <c:txPr>
          <a:bodyPr rot="-60000000" spcFirstLastPara="1" vertOverflow="ellipsis" vert="horz" wrap="square" anchor="ctr" anchorCtr="1"/>
          <a:lstStyle/>
          <a:p>
            <a:pPr>
              <a:defRPr sz="400" b="0" i="0" u="none" strike="noStrike" kern="1200" baseline="0">
                <a:solidFill>
                  <a:schemeClr val="bg1">
                    <a:lumMod val="50000"/>
                  </a:schemeClr>
                </a:solidFill>
                <a:latin typeface="+mn-lt"/>
                <a:ea typeface="+mn-ea"/>
                <a:cs typeface="+mn-cs"/>
              </a:defRPr>
            </a:pPr>
            <a:endParaRPr lang="es-ES"/>
          </a:p>
        </c:txPr>
        <c:crossAx val="1978075087"/>
        <c:crosses val="autoZero"/>
        <c:auto val="1"/>
        <c:lblAlgn val="ctr"/>
        <c:lblOffset val="100"/>
        <c:noMultiLvlLbl val="0"/>
      </c:catAx>
      <c:valAx>
        <c:axId val="1978075087"/>
        <c:scaling>
          <c:orientation val="minMax"/>
        </c:scaling>
        <c:delete val="0"/>
        <c:axPos val="l"/>
        <c:majorGridlines>
          <c:spPr>
            <a:ln w="9525" cap="flat" cmpd="sng" algn="ctr">
              <a:solidFill>
                <a:schemeClr val="bg1">
                  <a:lumMod val="7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bg1">
                    <a:lumMod val="50000"/>
                  </a:schemeClr>
                </a:solidFill>
                <a:latin typeface="+mn-lt"/>
                <a:ea typeface="+mn-ea"/>
                <a:cs typeface="+mn-cs"/>
              </a:defRPr>
            </a:pPr>
            <a:endParaRPr lang="es-ES"/>
          </a:p>
        </c:txPr>
        <c:crossAx val="1978092367"/>
        <c:crosses val="autoZero"/>
        <c:crossBetween val="between"/>
      </c:valAx>
      <c:spPr>
        <a:noFill/>
        <a:ln>
          <a:noFill/>
        </a:ln>
        <a:effectLst/>
      </c:spPr>
    </c:plotArea>
    <c:legend>
      <c:legendPos val="b"/>
      <c:layout>
        <c:manualLayout>
          <c:xMode val="edge"/>
          <c:yMode val="edge"/>
          <c:x val="0.31523041075909469"/>
          <c:y val="3.0755301193972361E-2"/>
          <c:w val="0.33184402773829097"/>
          <c:h val="6.105874590166737E-2"/>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bg1">
                  <a:lumMod val="50000"/>
                </a:schemeClr>
              </a:solidFill>
              <a:latin typeface="+mn-lt"/>
              <a:ea typeface="+mn-ea"/>
              <a:cs typeface="+mn-cs"/>
            </a:defRPr>
          </a:pPr>
          <a:endParaRPr lang="es-E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600">
          <a:solidFill>
            <a:schemeClr val="bg1">
              <a:lumMod val="50000"/>
            </a:schemeClr>
          </a:solidFill>
        </a:defRPr>
      </a:pPr>
      <a:endParaRPr lang="es-E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1314875963085264E-2"/>
          <c:y val="0.1404945335070526"/>
          <c:w val="0.89373888747777497"/>
          <c:h val="0.67977751656942165"/>
        </c:manualLayout>
      </c:layout>
      <c:barChart>
        <c:barDir val="col"/>
        <c:grouping val="clustered"/>
        <c:varyColors val="0"/>
        <c:ser>
          <c:idx val="0"/>
          <c:order val="0"/>
          <c:tx>
            <c:strRef>
              <c:f>'[G4_Esenciales6_2024.xlsx]G3'!$B$10</c:f>
              <c:strCache>
                <c:ptCount val="1"/>
                <c:pt idx="0">
                  <c:v>Hospitales públicos del SNS</c:v>
                </c:pt>
              </c:strCache>
            </c:strRef>
          </c:tx>
          <c:spPr>
            <a:solidFill>
              <a:schemeClr val="accent1"/>
            </a:solidFill>
            <a:ln>
              <a:noFill/>
            </a:ln>
            <a:effectLst/>
          </c:spPr>
          <c:invertIfNegative val="0"/>
          <c:dLbls>
            <c:numFmt formatCode="0" sourceLinked="0"/>
            <c:spPr>
              <a:noFill/>
              <a:ln>
                <a:noFill/>
              </a:ln>
              <a:effectLst/>
            </c:spPr>
            <c:txPr>
              <a:bodyPr rot="0" spcFirstLastPara="1" vertOverflow="ellipsis" vert="horz" wrap="square" anchor="ctr" anchorCtr="1"/>
              <a:lstStyle/>
              <a:p>
                <a:pPr>
                  <a:defRPr sz="600" b="0" i="0" u="none" strike="noStrike" kern="1200" baseline="0">
                    <a:solidFill>
                      <a:schemeClr val="bg1">
                        <a:lumMod val="50000"/>
                      </a:schemeClr>
                    </a:solidFill>
                    <a:latin typeface="+mn-lt"/>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'[G4_Esenciales6_2024.xlsx]G3'!$A$11:$A$15</c:f>
              <c:strCache>
                <c:ptCount val="5"/>
                <c:pt idx="0">
                  <c:v>Consultas externas</c:v>
                </c:pt>
                <c:pt idx="1">
                  <c:v>Resonancias magnéticas</c:v>
                </c:pt>
                <c:pt idx="2">
                  <c:v>TAC</c:v>
                </c:pt>
                <c:pt idx="3">
                  <c:v>Angiografía digital</c:v>
                </c:pt>
                <c:pt idx="4">
                  <c:v>Biopsias</c:v>
                </c:pt>
              </c:strCache>
            </c:strRef>
          </c:cat>
          <c:val>
            <c:numRef>
              <c:f>'[G4_Esenciales6_2024.xlsx]G3'!$B$11:$B$15</c:f>
              <c:numCache>
                <c:formatCode>General</c:formatCode>
                <c:ptCount val="5"/>
                <c:pt idx="0">
                  <c:v>20.061003327918598</c:v>
                </c:pt>
                <c:pt idx="1">
                  <c:v>91.394143086694598</c:v>
                </c:pt>
                <c:pt idx="2">
                  <c:v>71.030991450956819</c:v>
                </c:pt>
                <c:pt idx="3">
                  <c:v>14.89747809456032</c:v>
                </c:pt>
                <c:pt idx="4">
                  <c:v>43.841214674119634</c:v>
                </c:pt>
              </c:numCache>
            </c:numRef>
          </c:val>
          <c:extLst>
            <c:ext xmlns:c16="http://schemas.microsoft.com/office/drawing/2014/chart" uri="{C3380CC4-5D6E-409C-BE32-E72D297353CC}">
              <c16:uniqueId val="{00000000-C6A1-4FDA-A35F-CB555C4950FF}"/>
            </c:ext>
          </c:extLst>
        </c:ser>
        <c:ser>
          <c:idx val="1"/>
          <c:order val="1"/>
          <c:tx>
            <c:strRef>
              <c:f>'[G4_Esenciales6_2024.xlsx]G3'!$C$10</c:f>
              <c:strCache>
                <c:ptCount val="1"/>
                <c:pt idx="0">
                  <c:v>Hospitales privados</c:v>
                </c:pt>
              </c:strCache>
            </c:strRef>
          </c:tx>
          <c:spPr>
            <a:solidFill>
              <a:schemeClr val="accent6"/>
            </a:solidFill>
            <a:ln>
              <a:noFill/>
            </a:ln>
            <a:effectLst/>
          </c:spPr>
          <c:invertIfNegative val="0"/>
          <c:dLbls>
            <c:dLbl>
              <c:idx val="0"/>
              <c:layout>
                <c:manualLayout>
                  <c:x val="0"/>
                  <c:y val="0.13489208633093522"/>
                </c:manualLayout>
              </c:layout>
              <c:numFmt formatCode="#,##0" sourceLinked="0"/>
              <c:spPr>
                <a:noFill/>
                <a:ln>
                  <a:noFill/>
                </a:ln>
                <a:effectLst/>
              </c:spPr>
              <c:txPr>
                <a:bodyPr rot="0" spcFirstLastPara="1" vertOverflow="ellipsis" vert="horz" wrap="square" anchor="ctr" anchorCtr="1"/>
                <a:lstStyle/>
                <a:p>
                  <a:pPr>
                    <a:defRPr sz="600" b="0" i="0" u="none" strike="noStrike" kern="1200" baseline="0">
                      <a:solidFill>
                        <a:schemeClr val="bg1"/>
                      </a:solidFill>
                      <a:latin typeface="+mn-lt"/>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6A1-4FDA-A35F-CB555C4950FF}"/>
                </c:ext>
              </c:extLst>
            </c:dLbl>
            <c:numFmt formatCode="#,##0" sourceLinked="0"/>
            <c:spPr>
              <a:noFill/>
              <a:ln>
                <a:noFill/>
              </a:ln>
              <a:effectLst/>
            </c:spPr>
            <c:txPr>
              <a:bodyPr rot="0" spcFirstLastPara="1" vertOverflow="ellipsis" vert="horz" wrap="square" anchor="ctr" anchorCtr="1"/>
              <a:lstStyle/>
              <a:p>
                <a:pPr>
                  <a:defRPr sz="600" b="0" i="0" u="none" strike="noStrike" kern="1200" baseline="0">
                    <a:solidFill>
                      <a:schemeClr val="bg1">
                        <a:lumMod val="50000"/>
                      </a:schemeClr>
                    </a:solidFill>
                    <a:latin typeface="+mn-lt"/>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'[G4_Esenciales6_2024.xlsx]G3'!$A$11:$A$15</c:f>
              <c:strCache>
                <c:ptCount val="5"/>
                <c:pt idx="0">
                  <c:v>Consultas externas</c:v>
                </c:pt>
                <c:pt idx="1">
                  <c:v>Resonancias magnéticas</c:v>
                </c:pt>
                <c:pt idx="2">
                  <c:v>TAC</c:v>
                </c:pt>
                <c:pt idx="3">
                  <c:v>Angiografía digital</c:v>
                </c:pt>
                <c:pt idx="4">
                  <c:v>Biopsias</c:v>
                </c:pt>
              </c:strCache>
            </c:strRef>
          </c:cat>
          <c:val>
            <c:numRef>
              <c:f>'[G4_Esenciales6_2024.xlsx]G3'!$C$11:$C$15</c:f>
              <c:numCache>
                <c:formatCode>General</c:formatCode>
                <c:ptCount val="5"/>
                <c:pt idx="0">
                  <c:v>132.64503795405281</c:v>
                </c:pt>
                <c:pt idx="1">
                  <c:v>98.622279186904109</c:v>
                </c:pt>
                <c:pt idx="2">
                  <c:v>76.773450490201526</c:v>
                </c:pt>
                <c:pt idx="3">
                  <c:v>46.244910269944192</c:v>
                </c:pt>
                <c:pt idx="4">
                  <c:v>95.290664322085519</c:v>
                </c:pt>
              </c:numCache>
            </c:numRef>
          </c:val>
          <c:extLst>
            <c:ext xmlns:c16="http://schemas.microsoft.com/office/drawing/2014/chart" uri="{C3380CC4-5D6E-409C-BE32-E72D297353CC}">
              <c16:uniqueId val="{00000001-C6A1-4FDA-A35F-CB555C4950FF}"/>
            </c:ext>
          </c:extLst>
        </c:ser>
        <c:dLbls>
          <c:showLegendKey val="0"/>
          <c:showVal val="0"/>
          <c:showCatName val="0"/>
          <c:showSerName val="0"/>
          <c:showPercent val="0"/>
          <c:showBubbleSize val="0"/>
        </c:dLbls>
        <c:gapWidth val="219"/>
        <c:overlap val="-27"/>
        <c:axId val="419110959"/>
        <c:axId val="419123439"/>
      </c:barChart>
      <c:catAx>
        <c:axId val="419110959"/>
        <c:scaling>
          <c:orientation val="minMax"/>
        </c:scaling>
        <c:delete val="0"/>
        <c:axPos val="b"/>
        <c:numFmt formatCode="General" sourceLinked="1"/>
        <c:majorTickMark val="none"/>
        <c:minorTickMark val="none"/>
        <c:tickLblPos val="nextTo"/>
        <c:spPr>
          <a:noFill/>
          <a:ln w="9525" cap="flat" cmpd="sng" algn="ctr">
            <a:solidFill>
              <a:schemeClr val="bg1">
                <a:lumMod val="75000"/>
              </a:schemeClr>
            </a:solidFill>
            <a:round/>
          </a:ln>
          <a:effectLst/>
        </c:spPr>
        <c:txPr>
          <a:bodyPr rot="-60000000" spcFirstLastPara="1" vertOverflow="ellipsis" vert="horz" wrap="square" anchor="ctr" anchorCtr="1"/>
          <a:lstStyle/>
          <a:p>
            <a:pPr>
              <a:defRPr sz="600" b="0" i="0" u="none" strike="noStrike" kern="1200" baseline="0">
                <a:solidFill>
                  <a:schemeClr val="bg1">
                    <a:lumMod val="50000"/>
                  </a:schemeClr>
                </a:solidFill>
                <a:latin typeface="+mn-lt"/>
                <a:ea typeface="+mn-ea"/>
                <a:cs typeface="+mn-cs"/>
              </a:defRPr>
            </a:pPr>
            <a:endParaRPr lang="es-ES"/>
          </a:p>
        </c:txPr>
        <c:crossAx val="419123439"/>
        <c:crosses val="autoZero"/>
        <c:auto val="1"/>
        <c:lblAlgn val="ctr"/>
        <c:lblOffset val="100"/>
        <c:noMultiLvlLbl val="0"/>
      </c:catAx>
      <c:valAx>
        <c:axId val="419123439"/>
        <c:scaling>
          <c:orientation val="minMax"/>
        </c:scaling>
        <c:delete val="0"/>
        <c:axPos val="l"/>
        <c:majorGridlines>
          <c:spPr>
            <a:ln w="9525" cap="flat" cmpd="sng" algn="ctr">
              <a:solidFill>
                <a:schemeClr val="bg1">
                  <a:lumMod val="7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bg1">
                    <a:lumMod val="50000"/>
                  </a:schemeClr>
                </a:solidFill>
                <a:latin typeface="+mn-lt"/>
                <a:ea typeface="+mn-ea"/>
                <a:cs typeface="+mn-cs"/>
              </a:defRPr>
            </a:pPr>
            <a:endParaRPr lang="es-ES"/>
          </a:p>
        </c:txPr>
        <c:crossAx val="419110959"/>
        <c:crosses val="autoZero"/>
        <c:crossBetween val="between"/>
      </c:valAx>
      <c:spPr>
        <a:noFill/>
        <a:ln>
          <a:noFill/>
        </a:ln>
        <a:effectLst/>
      </c:spPr>
    </c:plotArea>
    <c:legend>
      <c:legendPos val="b"/>
      <c:layout>
        <c:manualLayout>
          <c:xMode val="edge"/>
          <c:yMode val="edge"/>
          <c:x val="0.12224563962471723"/>
          <c:y val="2.1554552186223902E-2"/>
          <c:w val="0.80201393095093887"/>
          <c:h val="0.10392679919094659"/>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bg1">
                  <a:lumMod val="50000"/>
                </a:schemeClr>
              </a:solidFill>
              <a:latin typeface="+mn-lt"/>
              <a:ea typeface="+mn-ea"/>
              <a:cs typeface="+mn-cs"/>
            </a:defRPr>
          </a:pPr>
          <a:endParaRPr lang="es-E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600">
          <a:solidFill>
            <a:schemeClr val="bg1">
              <a:lumMod val="50000"/>
            </a:schemeClr>
          </a:solidFill>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0.32967</cdr:x>
      <cdr:y>0.06248</cdr:y>
    </cdr:from>
    <cdr:to>
      <cdr:x>0.94428</cdr:x>
      <cdr:y>0.28834</cdr:y>
    </cdr:to>
    <cdr:sp macro="" textlink="">
      <cdr:nvSpPr>
        <cdr:cNvPr id="2" name="CuadroTexto 1">
          <a:extLst xmlns:a="http://schemas.openxmlformats.org/drawingml/2006/main">
            <a:ext uri="{FF2B5EF4-FFF2-40B4-BE49-F238E27FC236}">
              <a16:creationId xmlns:a16="http://schemas.microsoft.com/office/drawing/2014/main" id="{F7424450-A46E-5F8E-1231-16B549966267}"/>
            </a:ext>
          </a:extLst>
        </cdr:cNvPr>
        <cdr:cNvSpPr txBox="1"/>
      </cdr:nvSpPr>
      <cdr:spPr>
        <a:xfrm xmlns:a="http://schemas.openxmlformats.org/drawingml/2006/main">
          <a:off x="1066801" y="97005"/>
          <a:ext cx="1988864" cy="35067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lvl="0" indent="0" algn="r" defTabSz="914400" rtl="0" eaLnBrk="1" fontAlgn="auto" latinLnBrk="0" hangingPunct="1">
            <a:lnSpc>
              <a:spcPct val="100000"/>
            </a:lnSpc>
            <a:spcBef>
              <a:spcPts val="0"/>
            </a:spcBef>
            <a:spcAft>
              <a:spcPts val="0"/>
            </a:spcAft>
            <a:buClrTx/>
            <a:buSzTx/>
            <a:buFontTx/>
            <a:buNone/>
            <a:tabLst/>
            <a:defRPr/>
          </a:pPr>
          <a:r>
            <a:rPr lang="en-US" sz="600" b="1" i="0" baseline="0">
              <a:effectLst/>
              <a:latin typeface="+mn-lt"/>
              <a:ea typeface="+mn-ea"/>
              <a:cs typeface="+mn-cs"/>
            </a:rPr>
            <a:t>Gasto medio en salud por persona= </a:t>
          </a:r>
        </a:p>
        <a:p xmlns:a="http://schemas.openxmlformats.org/drawingml/2006/main">
          <a:pPr marL="0" marR="0" lvl="0" indent="0" algn="r" defTabSz="914400" rtl="0" eaLnBrk="1" fontAlgn="auto" latinLnBrk="0" hangingPunct="1">
            <a:lnSpc>
              <a:spcPct val="100000"/>
            </a:lnSpc>
            <a:spcBef>
              <a:spcPts val="0"/>
            </a:spcBef>
            <a:spcAft>
              <a:spcPts val="0"/>
            </a:spcAft>
            <a:buClrTx/>
            <a:buSzTx/>
            <a:buFontTx/>
            <a:buNone/>
            <a:tabLst/>
            <a:defRPr/>
          </a:pPr>
          <a:r>
            <a:rPr lang="en-US" sz="600" b="1" i="0" baseline="0">
              <a:effectLst/>
              <a:latin typeface="+mn-lt"/>
              <a:ea typeface="+mn-ea"/>
              <a:cs typeface="+mn-cs"/>
            </a:rPr>
            <a:t> 631 euros</a:t>
          </a:r>
          <a:endParaRPr lang="es-ES" sz="600" b="1">
            <a:effectLst/>
          </a:endParaRPr>
        </a:p>
        <a:p xmlns:a="http://schemas.openxmlformats.org/drawingml/2006/main">
          <a:pPr algn="r"/>
          <a:endParaRPr lang="es-ES" sz="600" b="1" kern="1200"/>
        </a:p>
      </cdr:txBody>
    </cdr:sp>
  </cdr:relSizeAnchor>
</c:userShapes>
</file>

<file path=word/theme/theme1.xml><?xml version="1.0" encoding="utf-8"?>
<a:theme xmlns:a="http://schemas.openxmlformats.org/drawingml/2006/main" name="BBVA Coronita">
  <a:themeElements>
    <a:clrScheme name="Esenciales2019">
      <a:dk1>
        <a:srgbClr val="004481"/>
      </a:dk1>
      <a:lt1>
        <a:srgbClr val="FFFFFF"/>
      </a:lt1>
      <a:dk2>
        <a:srgbClr val="1464A5"/>
      </a:dk2>
      <a:lt2>
        <a:srgbClr val="121212"/>
      </a:lt2>
      <a:accent1>
        <a:srgbClr val="1973B8"/>
      </a:accent1>
      <a:accent2>
        <a:srgbClr val="5BBEFF"/>
      </a:accent2>
      <a:accent3>
        <a:srgbClr val="2DCCCD"/>
      </a:accent3>
      <a:accent4>
        <a:srgbClr val="072146"/>
      </a:accent4>
      <a:accent5>
        <a:srgbClr val="D8BE75"/>
      </a:accent5>
      <a:accent6>
        <a:srgbClr val="F7893B"/>
      </a:accent6>
      <a:hlink>
        <a:srgbClr val="004481"/>
      </a:hlink>
      <a:folHlink>
        <a:srgbClr val="072146"/>
      </a:folHlink>
    </a:clrScheme>
    <a:fontScheme name="Coronita New">
      <a:majorFont>
        <a:latin typeface="BBVABentonSans"/>
        <a:ea typeface=""/>
        <a:cs typeface=""/>
      </a:majorFont>
      <a:minorFont>
        <a:latin typeface="BBVABentonSans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2"/>
        </a:solidFill>
      </a:spPr>
      <a:bodyPr wrap="none" lIns="0" tIns="0" rIns="0" bIns="0" rtlCol="0" anchor="ctr">
        <a:noAutofit/>
      </a:bodyPr>
      <a:lstStyle>
        <a:defPPr algn="ctr">
          <a:defRPr u="none" dirty="0">
            <a:solidFill>
              <a:schemeClr val="bg1"/>
            </a:solidFill>
            <a:latin typeface="+mj-lt"/>
          </a:defRPr>
        </a:defPPr>
      </a:lstStyle>
    </a:spDef>
    <a:lnDef>
      <a:spPr>
        <a:ln w="3175">
          <a:solidFill>
            <a:srgbClr val="A6AAA8"/>
          </a:solidFill>
          <a:miter lim="400000"/>
        </a:ln>
      </a:spPr>
      <a:bodyPr/>
      <a:lstStyle/>
    </a:lnDef>
    <a:txDef>
      <a:spPr>
        <a:noFill/>
      </a:spPr>
      <a:bodyPr wrap="square" lIns="0" tIns="0" rIns="0" bIns="0" rtlCol="0">
        <a:noAutofit/>
      </a:bodyPr>
      <a:lstStyle>
        <a:defPPr>
          <a:defRPr sz="2000" u="none" dirty="0">
            <a:solidFill>
              <a:schemeClr val="tx2"/>
            </a:solidFill>
            <a:latin typeface="+mn-lt"/>
          </a:defRPr>
        </a:defPPr>
      </a:lstStyle>
    </a:txDef>
  </a:objectDefaults>
  <a:extraClrSchemeLst>
    <a:extraClrScheme>
      <a:clrScheme name="5_Tema de Office 1">
        <a:dk1>
          <a:srgbClr val="000000"/>
        </a:dk1>
        <a:lt1>
          <a:srgbClr val="FFFFFF"/>
        </a:lt1>
        <a:dk2>
          <a:srgbClr val="1F497D"/>
        </a:dk2>
        <a:lt2>
          <a:srgbClr val="EEECE1"/>
        </a:lt2>
        <a:accent1>
          <a:srgbClr val="4F81BD"/>
        </a:accent1>
        <a:accent2>
          <a:srgbClr val="C0504D"/>
        </a:accent2>
        <a:accent3>
          <a:srgbClr val="FFFFFF"/>
        </a:accent3>
        <a:accent4>
          <a:srgbClr val="000000"/>
        </a:accent4>
        <a:accent5>
          <a:srgbClr val="B2C1DB"/>
        </a:accent5>
        <a:accent6>
          <a:srgbClr val="AE4845"/>
        </a:accent6>
        <a:hlink>
          <a:srgbClr val="0000FF"/>
        </a:hlink>
        <a:folHlink>
          <a:srgbClr val="800080"/>
        </a:folHlink>
      </a:clrScheme>
      <a:clrMap bg1="lt1" tx1="dk1" bg2="lt2" tx2="dk2" accent1="accent1" accent2="accent2" accent3="accent3" accent4="accent4" accent5="accent5" accent6="accent6" hlink="hlink" folHlink="folHlink"/>
    </a:extraClrScheme>
    <a:extraClrScheme>
      <a:clrScheme name="5_Tema de Office 2">
        <a:dk1>
          <a:srgbClr val="094FA4"/>
        </a:dk1>
        <a:lt1>
          <a:srgbClr val="FFFFFF"/>
        </a:lt1>
        <a:dk2>
          <a:srgbClr val="89D1F3"/>
        </a:dk2>
        <a:lt2>
          <a:srgbClr val="FDBD2C"/>
        </a:lt2>
        <a:accent1>
          <a:srgbClr val="009EE5"/>
        </a:accent1>
        <a:accent2>
          <a:srgbClr val="F6891E"/>
        </a:accent2>
        <a:accent3>
          <a:srgbClr val="FFFFFF"/>
        </a:accent3>
        <a:accent4>
          <a:srgbClr val="06428B"/>
        </a:accent4>
        <a:accent5>
          <a:srgbClr val="AACCF0"/>
        </a:accent5>
        <a:accent6>
          <a:srgbClr val="DF7C1A"/>
        </a:accent6>
        <a:hlink>
          <a:srgbClr val="86C82D"/>
        </a:hlink>
        <a:folHlink>
          <a:srgbClr val="C8175E"/>
        </a:folHlink>
      </a:clrScheme>
      <a:clrMap bg1="lt1" tx1="dk1" bg2="lt2" tx2="dk2" accent1="accent1" accent2="accent2" accent3="accent3" accent4="accent4" accent5="accent5" accent6="accent6" hlink="hlink" folHlink="folHlink"/>
    </a:extraClrScheme>
    <a:extraClrScheme>
      <a:clrScheme name="5_Tema de Office 1">
        <a:dk1>
          <a:srgbClr val="000000"/>
        </a:dk1>
        <a:lt1>
          <a:srgbClr val="FFFFFF"/>
        </a:lt1>
        <a:dk2>
          <a:srgbClr val="1F497D"/>
        </a:dk2>
        <a:lt2>
          <a:srgbClr val="EEECE1"/>
        </a:lt2>
        <a:accent1>
          <a:srgbClr val="4F81BD"/>
        </a:accent1>
        <a:accent2>
          <a:srgbClr val="C0504D"/>
        </a:accent2>
        <a:accent3>
          <a:srgbClr val="FFFFFF"/>
        </a:accent3>
        <a:accent4>
          <a:srgbClr val="000000"/>
        </a:accent4>
        <a:accent5>
          <a:srgbClr val="B2C1DB"/>
        </a:accent5>
        <a:accent6>
          <a:srgbClr val="AE4845"/>
        </a:accent6>
        <a:hlink>
          <a:srgbClr val="0000FF"/>
        </a:hlink>
        <a:folHlink>
          <a:srgbClr val="800080"/>
        </a:folHlink>
      </a:clrScheme>
      <a:clrMap bg1="lt1" tx1="dk1" bg2="lt2" tx2="dk2" accent1="accent1" accent2="accent2" accent3="accent3" accent4="accent4" accent5="accent5" accent6="accent6" hlink="hlink" folHlink="folHlink"/>
    </a:extraClrScheme>
    <a:extraClrScheme>
      <a:clrScheme name="5_Tema de Office 2">
        <a:dk1>
          <a:srgbClr val="094FA4"/>
        </a:dk1>
        <a:lt1>
          <a:srgbClr val="FFFFFF"/>
        </a:lt1>
        <a:dk2>
          <a:srgbClr val="89D1F3"/>
        </a:dk2>
        <a:lt2>
          <a:srgbClr val="FDBD2C"/>
        </a:lt2>
        <a:accent1>
          <a:srgbClr val="009EE5"/>
        </a:accent1>
        <a:accent2>
          <a:srgbClr val="F6891E"/>
        </a:accent2>
        <a:accent3>
          <a:srgbClr val="FFFFFF"/>
        </a:accent3>
        <a:accent4>
          <a:srgbClr val="06428B"/>
        </a:accent4>
        <a:accent5>
          <a:srgbClr val="AACCF0"/>
        </a:accent5>
        <a:accent6>
          <a:srgbClr val="DF7C1A"/>
        </a:accent6>
        <a:hlink>
          <a:srgbClr val="86C82D"/>
        </a:hlink>
        <a:folHlink>
          <a:srgbClr val="C8175E"/>
        </a:folHlink>
      </a:clrScheme>
      <a:clrMap bg1="lt1" tx1="dk1" bg2="lt2" tx2="dk2" accent1="accent1" accent2="accent2" accent3="accent3" accent4="accent4" accent5="accent5" accent6="accent6" hlink="hlink" folHlink="folHlink"/>
    </a:extraClrScheme>
    <a:extraClrScheme>
      <a:clrScheme name="5_Tema de Office 3">
        <a:dk1>
          <a:srgbClr val="094FA4"/>
        </a:dk1>
        <a:lt1>
          <a:srgbClr val="FFFFFF"/>
        </a:lt1>
        <a:dk2>
          <a:srgbClr val="88D1F2"/>
        </a:dk2>
        <a:lt2>
          <a:srgbClr val="FDBD2C"/>
        </a:lt2>
        <a:accent1>
          <a:srgbClr val="009EE5"/>
        </a:accent1>
        <a:accent2>
          <a:srgbClr val="F6891E"/>
        </a:accent2>
        <a:accent3>
          <a:srgbClr val="FFFFFF"/>
        </a:accent3>
        <a:accent4>
          <a:srgbClr val="06428B"/>
        </a:accent4>
        <a:accent5>
          <a:srgbClr val="AACCF0"/>
        </a:accent5>
        <a:accent6>
          <a:srgbClr val="DF7C1A"/>
        </a:accent6>
        <a:hlink>
          <a:srgbClr val="86C82D"/>
        </a:hlink>
        <a:folHlink>
          <a:srgbClr val="3EB6BB"/>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B9005-A427-4477-B73C-581ED56D1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 de prensa NB_edi</Template>
  <TotalTime>4</TotalTime>
  <Pages>3</Pages>
  <Words>1752</Words>
  <Characters>9642</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BBVA Fundación_Esenciales</vt:lpstr>
    </vt:vector>
  </TitlesOfParts>
  <Company>contentsarea</Company>
  <LinksUpToDate>false</LinksUpToDate>
  <CharactersWithSpaces>11372</CharactersWithSpaces>
  <SharedDoc>false</SharedDoc>
  <HLinks>
    <vt:vector size="18" baseType="variant">
      <vt:variant>
        <vt:i4>4522005</vt:i4>
      </vt:variant>
      <vt:variant>
        <vt:i4>6</vt:i4>
      </vt:variant>
      <vt:variant>
        <vt:i4>0</vt:i4>
      </vt:variant>
      <vt:variant>
        <vt:i4>5</vt:i4>
      </vt:variant>
      <vt:variant>
        <vt:lpwstr>https://www.bbva.com/</vt:lpwstr>
      </vt:variant>
      <vt:variant>
        <vt:lpwstr/>
      </vt:variant>
      <vt:variant>
        <vt:i4>65543</vt:i4>
      </vt:variant>
      <vt:variant>
        <vt:i4>3</vt:i4>
      </vt:variant>
      <vt:variant>
        <vt:i4>0</vt:i4>
      </vt:variant>
      <vt:variant>
        <vt:i4>5</vt:i4>
      </vt:variant>
      <vt:variant>
        <vt:lpwstr>https://accionistaseinversores.bbva.com/</vt:lpwstr>
      </vt:variant>
      <vt:variant>
        <vt:lpwstr/>
      </vt:variant>
      <vt:variant>
        <vt:i4>6357021</vt:i4>
      </vt:variant>
      <vt:variant>
        <vt:i4>0</vt:i4>
      </vt:variant>
      <vt:variant>
        <vt:i4>0</vt:i4>
      </vt:variant>
      <vt:variant>
        <vt:i4>5</vt:i4>
      </vt:variant>
      <vt:variant>
        <vt:lpwstr>mailto:comunicacion.corporativa@bbva.com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BBVA Fundación_Esenciales</dc:title>
  <dc:subject>BBVA Fundación_Esenciales</dc:subject>
  <dc:creator>BBVA</dc:creator>
  <cp:keywords>BBVA Fundación_Esenciales</cp:keywords>
  <cp:lastModifiedBy>Yolanda Jover</cp:lastModifiedBy>
  <cp:revision>3</cp:revision>
  <cp:lastPrinted>2024-12-13T09:00:00Z</cp:lastPrinted>
  <dcterms:created xsi:type="dcterms:W3CDTF">2025-05-28T06:53:00Z</dcterms:created>
  <dcterms:modified xsi:type="dcterms:W3CDTF">2025-05-28T06:54:00Z</dcterms:modified>
  <cp:category>Plantilla_NotaPrensa_BBVA Benton Sans</cp:category>
</cp:coreProperties>
</file>