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FB75" w14:textId="44A9A78E" w:rsidR="00194FE8" w:rsidRDefault="00194FE8" w:rsidP="00EA49F2">
      <w:pPr>
        <w:pStyle w:val="Ttuloprincipal"/>
        <w:spacing w:line="400" w:lineRule="exact"/>
        <w:rPr>
          <w:rFonts w:cs="Arial"/>
          <w:noProof/>
          <w:color w:val="072146" w:themeColor="accent4"/>
          <w:sz w:val="18"/>
          <w:szCs w:val="24"/>
        </w:rPr>
      </w:pPr>
      <w:r w:rsidRPr="00194FE8">
        <w:rPr>
          <w:rFonts w:cs="Arial"/>
          <w:noProof/>
          <w:color w:val="072146" w:themeColor="accent4"/>
          <w:sz w:val="18"/>
          <w:szCs w:val="24"/>
        </w:rPr>
        <w:t>P</w:t>
      </w:r>
      <w:r>
        <w:rPr>
          <w:rFonts w:cs="Arial"/>
          <w:noProof/>
          <w:color w:val="072146" w:themeColor="accent4"/>
          <w:sz w:val="18"/>
          <w:szCs w:val="24"/>
        </w:rPr>
        <w:t>RESENTE Y FUTURO DE LA JUVENTUD ESPAÑOLA</w:t>
      </w:r>
    </w:p>
    <w:p w14:paraId="51272E95" w14:textId="30889B1C" w:rsidR="00BD2F92" w:rsidRPr="00E2752E" w:rsidRDefault="00BD2F92" w:rsidP="00BD2F92">
      <w:pPr>
        <w:pStyle w:val="Ttuloprincipal"/>
        <w:spacing w:line="400" w:lineRule="exact"/>
        <w:jc w:val="both"/>
        <w:rPr>
          <w:i/>
          <w:spacing w:val="-4"/>
          <w:sz w:val="38"/>
          <w:szCs w:val="38"/>
        </w:rPr>
      </w:pPr>
      <w:r w:rsidRPr="004A2A6F">
        <w:rPr>
          <w:i/>
          <w:spacing w:val="-4"/>
          <w:sz w:val="38"/>
          <w:szCs w:val="38"/>
        </w:rPr>
        <w:t xml:space="preserve">El retraso en la incorporación laboral de los jóvenes y la reforma de las pensiones elevará en 2065 la edad de jubilación hasta en seis años </w:t>
      </w:r>
      <w:r>
        <w:rPr>
          <w:i/>
          <w:spacing w:val="-4"/>
          <w:sz w:val="38"/>
          <w:szCs w:val="38"/>
        </w:rPr>
        <w:t xml:space="preserve">si se quiere </w:t>
      </w:r>
      <w:r w:rsidRPr="004A2A6F">
        <w:rPr>
          <w:i/>
          <w:spacing w:val="-4"/>
          <w:sz w:val="38"/>
          <w:szCs w:val="38"/>
        </w:rPr>
        <w:t>mantener el nivel de vida previo</w:t>
      </w:r>
    </w:p>
    <w:p w14:paraId="455B7A55" w14:textId="22DB2FD1" w:rsidR="008C3539" w:rsidRDefault="006C6CBA" w:rsidP="00F63D56">
      <w:pPr>
        <w:widowControl/>
        <w:spacing w:line="220" w:lineRule="exact"/>
        <w:ind w:right="0"/>
        <w:jc w:val="both"/>
        <w:rPr>
          <w:rFonts w:asciiTheme="majorHAnsi" w:hAnsiTheme="majorHAnsi"/>
          <w:i/>
          <w:iCs/>
          <w:color w:val="121212"/>
          <w:sz w:val="19"/>
          <w:szCs w:val="19"/>
        </w:rPr>
        <w:sectPr w:rsidR="008C3539" w:rsidSect="004E4A44">
          <w:headerReference w:type="default" r:id="rId8"/>
          <w:footerReference w:type="default" r:id="rId9"/>
          <w:headerReference w:type="first" r:id="rId10"/>
          <w:type w:val="continuous"/>
          <w:pgSz w:w="11900" w:h="16840" w:code="9"/>
          <w:pgMar w:top="2466" w:right="771" w:bottom="567" w:left="709" w:header="709" w:footer="0" w:gutter="0"/>
          <w:cols w:space="227"/>
          <w:titlePg/>
          <w:docGrid w:linePitch="360"/>
        </w:sectPr>
      </w:pPr>
      <w:r>
        <w:rPr>
          <w:rFonts w:asciiTheme="majorHAnsi" w:hAnsiTheme="majorHAnsi"/>
          <w:i/>
          <w:iCs/>
          <w:color w:val="121212"/>
          <w:sz w:val="19"/>
          <w:szCs w:val="19"/>
        </w:rPr>
        <w:t xml:space="preserve">La incorporación al mundo laboral más tardía de los jóvenes, con </w:t>
      </w:r>
      <w:r w:rsidR="002E4CCD">
        <w:rPr>
          <w:rFonts w:asciiTheme="majorHAnsi" w:hAnsiTheme="majorHAnsi"/>
          <w:i/>
          <w:iCs/>
          <w:color w:val="121212"/>
          <w:sz w:val="19"/>
          <w:szCs w:val="19"/>
        </w:rPr>
        <w:t>una tasa de empleo</w:t>
      </w:r>
      <w:r>
        <w:rPr>
          <w:rFonts w:asciiTheme="majorHAnsi" w:hAnsiTheme="majorHAnsi"/>
          <w:i/>
          <w:iCs/>
          <w:color w:val="121212"/>
          <w:sz w:val="19"/>
          <w:szCs w:val="19"/>
        </w:rPr>
        <w:t xml:space="preserve"> </w:t>
      </w:r>
      <w:r w:rsidR="002E4CCD">
        <w:rPr>
          <w:rFonts w:asciiTheme="majorHAnsi" w:hAnsiTheme="majorHAnsi"/>
          <w:i/>
          <w:iCs/>
          <w:color w:val="121212"/>
          <w:sz w:val="19"/>
          <w:szCs w:val="19"/>
        </w:rPr>
        <w:t>entre los 16 y los 29</w:t>
      </w:r>
      <w:r>
        <w:rPr>
          <w:rFonts w:asciiTheme="majorHAnsi" w:hAnsiTheme="majorHAnsi"/>
          <w:i/>
          <w:iCs/>
          <w:color w:val="121212"/>
          <w:sz w:val="19"/>
          <w:szCs w:val="19"/>
        </w:rPr>
        <w:t xml:space="preserve"> años </w:t>
      </w:r>
      <w:r w:rsidR="006333DD">
        <w:rPr>
          <w:rFonts w:asciiTheme="majorHAnsi" w:hAnsiTheme="majorHAnsi"/>
          <w:i/>
          <w:iCs/>
          <w:color w:val="121212"/>
          <w:sz w:val="19"/>
          <w:szCs w:val="19"/>
        </w:rPr>
        <w:t>15</w:t>
      </w:r>
      <w:r w:rsidR="00B67967">
        <w:rPr>
          <w:rFonts w:asciiTheme="majorHAnsi" w:hAnsiTheme="majorHAnsi"/>
          <w:i/>
          <w:iCs/>
          <w:color w:val="121212"/>
          <w:sz w:val="19"/>
          <w:szCs w:val="19"/>
        </w:rPr>
        <w:t xml:space="preserve"> </w:t>
      </w:r>
      <w:r>
        <w:rPr>
          <w:rFonts w:asciiTheme="majorHAnsi" w:hAnsiTheme="majorHAnsi"/>
          <w:i/>
          <w:iCs/>
          <w:color w:val="121212"/>
          <w:sz w:val="19"/>
          <w:szCs w:val="19"/>
        </w:rPr>
        <w:t>puntos</w:t>
      </w:r>
      <w:r w:rsidR="006333DD">
        <w:rPr>
          <w:rFonts w:asciiTheme="majorHAnsi" w:hAnsiTheme="majorHAnsi"/>
          <w:i/>
          <w:iCs/>
          <w:color w:val="121212"/>
          <w:sz w:val="19"/>
          <w:szCs w:val="19"/>
        </w:rPr>
        <w:t xml:space="preserve"> porcentuales </w:t>
      </w:r>
      <w:r>
        <w:rPr>
          <w:rFonts w:asciiTheme="majorHAnsi" w:hAnsiTheme="majorHAnsi"/>
          <w:i/>
          <w:iCs/>
          <w:color w:val="121212"/>
          <w:sz w:val="19"/>
          <w:szCs w:val="19"/>
        </w:rPr>
        <w:t xml:space="preserve">inferior a la de </w:t>
      </w:r>
      <w:r w:rsidR="002E4CCD">
        <w:rPr>
          <w:rFonts w:asciiTheme="majorHAnsi" w:hAnsiTheme="majorHAnsi"/>
          <w:i/>
          <w:iCs/>
          <w:color w:val="121212"/>
          <w:sz w:val="19"/>
          <w:szCs w:val="19"/>
        </w:rPr>
        <w:t>2007</w:t>
      </w:r>
      <w:r>
        <w:rPr>
          <w:rFonts w:asciiTheme="majorHAnsi" w:hAnsiTheme="majorHAnsi"/>
          <w:i/>
          <w:iCs/>
          <w:color w:val="121212"/>
          <w:sz w:val="19"/>
          <w:szCs w:val="19"/>
        </w:rPr>
        <w:t xml:space="preserve">, hará más difícil completar carreras laborales suficientemente largas para </w:t>
      </w:r>
      <w:r w:rsidR="00750E62">
        <w:rPr>
          <w:rFonts w:asciiTheme="majorHAnsi" w:hAnsiTheme="majorHAnsi"/>
          <w:i/>
          <w:iCs/>
          <w:color w:val="121212"/>
          <w:sz w:val="19"/>
          <w:szCs w:val="19"/>
        </w:rPr>
        <w:t xml:space="preserve">lograr una pensión a </w:t>
      </w:r>
      <w:r>
        <w:rPr>
          <w:rFonts w:asciiTheme="majorHAnsi" w:hAnsiTheme="majorHAnsi"/>
          <w:i/>
          <w:iCs/>
          <w:color w:val="121212"/>
          <w:sz w:val="19"/>
          <w:szCs w:val="19"/>
        </w:rPr>
        <w:t xml:space="preserve">la edad </w:t>
      </w:r>
      <w:r w:rsidR="00750E62">
        <w:rPr>
          <w:rFonts w:asciiTheme="majorHAnsi" w:hAnsiTheme="majorHAnsi"/>
          <w:i/>
          <w:iCs/>
          <w:color w:val="121212"/>
          <w:sz w:val="19"/>
          <w:szCs w:val="19"/>
        </w:rPr>
        <w:t>ordinaria de jubilación que le permita mantener su nivel de vida previo</w:t>
      </w:r>
      <w:r>
        <w:rPr>
          <w:rFonts w:asciiTheme="majorHAnsi" w:hAnsiTheme="majorHAnsi"/>
          <w:i/>
          <w:iCs/>
          <w:color w:val="121212"/>
          <w:sz w:val="19"/>
          <w:szCs w:val="19"/>
        </w:rPr>
        <w:t xml:space="preserve">. </w:t>
      </w:r>
      <w:r w:rsidR="00750E62">
        <w:rPr>
          <w:rFonts w:asciiTheme="majorHAnsi" w:hAnsiTheme="majorHAnsi"/>
          <w:i/>
          <w:iCs/>
          <w:color w:val="121212"/>
          <w:sz w:val="19"/>
          <w:szCs w:val="19"/>
        </w:rPr>
        <w:t>L</w:t>
      </w:r>
      <w:r w:rsidR="00EB2970" w:rsidRPr="00EB2970">
        <w:rPr>
          <w:rFonts w:asciiTheme="majorHAnsi" w:hAnsiTheme="majorHAnsi"/>
          <w:i/>
          <w:iCs/>
          <w:color w:val="121212"/>
          <w:sz w:val="19"/>
          <w:szCs w:val="19"/>
        </w:rPr>
        <w:t xml:space="preserve">os jóvenes </w:t>
      </w:r>
      <w:r w:rsidR="00031E23">
        <w:rPr>
          <w:rFonts w:asciiTheme="majorHAnsi" w:hAnsiTheme="majorHAnsi"/>
          <w:i/>
          <w:iCs/>
          <w:color w:val="121212"/>
          <w:sz w:val="19"/>
          <w:szCs w:val="19"/>
        </w:rPr>
        <w:t xml:space="preserve">de hoy </w:t>
      </w:r>
      <w:r w:rsidR="00EB2970" w:rsidRPr="00EB2970">
        <w:rPr>
          <w:rFonts w:asciiTheme="majorHAnsi" w:hAnsiTheme="majorHAnsi"/>
          <w:i/>
          <w:iCs/>
          <w:color w:val="121212"/>
          <w:sz w:val="19"/>
          <w:szCs w:val="19"/>
        </w:rPr>
        <w:t xml:space="preserve">que se jubilen en 2065 </w:t>
      </w:r>
      <w:r w:rsidR="00031E23">
        <w:rPr>
          <w:rFonts w:asciiTheme="majorHAnsi" w:hAnsiTheme="majorHAnsi"/>
          <w:i/>
          <w:iCs/>
          <w:color w:val="121212"/>
          <w:sz w:val="19"/>
          <w:szCs w:val="19"/>
        </w:rPr>
        <w:t>y que solo hayan podido cotizar 30 años</w:t>
      </w:r>
      <w:r w:rsidR="006333DD">
        <w:rPr>
          <w:rFonts w:asciiTheme="majorHAnsi" w:hAnsiTheme="majorHAnsi"/>
          <w:i/>
          <w:iCs/>
          <w:color w:val="121212"/>
          <w:sz w:val="19"/>
          <w:szCs w:val="19"/>
        </w:rPr>
        <w:t>,</w:t>
      </w:r>
      <w:r w:rsidR="00031E23">
        <w:rPr>
          <w:rFonts w:asciiTheme="majorHAnsi" w:hAnsiTheme="majorHAnsi"/>
          <w:i/>
          <w:iCs/>
          <w:color w:val="121212"/>
          <w:sz w:val="19"/>
          <w:szCs w:val="19"/>
        </w:rPr>
        <w:t xml:space="preserve"> </w:t>
      </w:r>
      <w:r w:rsidR="00EB2970" w:rsidRPr="00EB2970">
        <w:rPr>
          <w:rFonts w:asciiTheme="majorHAnsi" w:hAnsiTheme="majorHAnsi"/>
          <w:i/>
          <w:iCs/>
          <w:color w:val="121212"/>
          <w:sz w:val="19"/>
          <w:szCs w:val="19"/>
        </w:rPr>
        <w:t>tendrán</w:t>
      </w:r>
      <w:r w:rsidR="00031E23">
        <w:rPr>
          <w:rFonts w:asciiTheme="majorHAnsi" w:hAnsiTheme="majorHAnsi"/>
          <w:i/>
          <w:iCs/>
          <w:color w:val="121212"/>
          <w:sz w:val="19"/>
          <w:szCs w:val="19"/>
        </w:rPr>
        <w:t xml:space="preserve"> que </w:t>
      </w:r>
      <w:r w:rsidR="00750E62">
        <w:rPr>
          <w:rFonts w:asciiTheme="majorHAnsi" w:hAnsiTheme="majorHAnsi"/>
          <w:i/>
          <w:iCs/>
          <w:color w:val="121212"/>
          <w:sz w:val="19"/>
          <w:szCs w:val="19"/>
        </w:rPr>
        <w:t xml:space="preserve">compensar sus menores cotizaciones demorando la jubilación </w:t>
      </w:r>
      <w:r w:rsidR="00031E23">
        <w:rPr>
          <w:rFonts w:asciiTheme="majorHAnsi" w:hAnsiTheme="majorHAnsi"/>
          <w:i/>
          <w:iCs/>
          <w:color w:val="121212"/>
          <w:sz w:val="19"/>
          <w:szCs w:val="19"/>
        </w:rPr>
        <w:t>hasta los 71 años</w:t>
      </w:r>
      <w:r w:rsidR="00F94B10">
        <w:rPr>
          <w:rFonts w:asciiTheme="majorHAnsi" w:hAnsiTheme="majorHAnsi"/>
          <w:i/>
          <w:iCs/>
          <w:color w:val="121212"/>
          <w:sz w:val="19"/>
          <w:szCs w:val="19"/>
        </w:rPr>
        <w:t>.</w:t>
      </w:r>
      <w:r w:rsidR="00031E23">
        <w:rPr>
          <w:rFonts w:asciiTheme="majorHAnsi" w:hAnsiTheme="majorHAnsi"/>
          <w:i/>
          <w:iCs/>
          <w:color w:val="121212"/>
          <w:sz w:val="19"/>
          <w:szCs w:val="19"/>
        </w:rPr>
        <w:t xml:space="preserve"> Además, </w:t>
      </w:r>
      <w:r w:rsidR="00750E62">
        <w:rPr>
          <w:rFonts w:asciiTheme="majorHAnsi" w:hAnsiTheme="majorHAnsi"/>
          <w:i/>
          <w:iCs/>
          <w:color w:val="121212"/>
          <w:sz w:val="19"/>
          <w:szCs w:val="19"/>
        </w:rPr>
        <w:t xml:space="preserve">con la última reforma, </w:t>
      </w:r>
      <w:r w:rsidR="006333DD">
        <w:rPr>
          <w:rFonts w:asciiTheme="majorHAnsi" w:hAnsiTheme="majorHAnsi"/>
          <w:i/>
          <w:iCs/>
          <w:color w:val="121212"/>
          <w:sz w:val="19"/>
          <w:szCs w:val="19"/>
        </w:rPr>
        <w:t>deberán</w:t>
      </w:r>
      <w:r w:rsidR="00EB2970" w:rsidRPr="00EB2970">
        <w:rPr>
          <w:rFonts w:asciiTheme="majorHAnsi" w:hAnsiTheme="majorHAnsi"/>
          <w:i/>
          <w:iCs/>
          <w:color w:val="121212"/>
          <w:sz w:val="19"/>
          <w:szCs w:val="19"/>
        </w:rPr>
        <w:t xml:space="preserve"> realizar un mayor esfuerzo de aportaciones a la Seguridad Social para recibir una pensión con una tasa de reemplazo</w:t>
      </w:r>
      <w:r w:rsidR="00031E23">
        <w:rPr>
          <w:rFonts w:asciiTheme="majorHAnsi" w:hAnsiTheme="majorHAnsi"/>
          <w:i/>
          <w:iCs/>
          <w:color w:val="121212"/>
          <w:sz w:val="19"/>
          <w:szCs w:val="19"/>
        </w:rPr>
        <w:t xml:space="preserve"> (</w:t>
      </w:r>
      <w:r w:rsidR="00384C78">
        <w:rPr>
          <w:rFonts w:asciiTheme="majorHAnsi" w:hAnsiTheme="majorHAnsi"/>
          <w:i/>
          <w:iCs/>
          <w:color w:val="121212"/>
          <w:sz w:val="19"/>
          <w:szCs w:val="19"/>
        </w:rPr>
        <w:t xml:space="preserve">relación entre la </w:t>
      </w:r>
      <w:r w:rsidR="00031E23">
        <w:rPr>
          <w:rFonts w:asciiTheme="majorHAnsi" w:hAnsiTheme="majorHAnsi"/>
          <w:i/>
          <w:iCs/>
          <w:color w:val="121212"/>
          <w:sz w:val="19"/>
          <w:szCs w:val="19"/>
        </w:rPr>
        <w:t>primera pensión</w:t>
      </w:r>
      <w:r w:rsidR="00384C78" w:rsidRPr="00384C78">
        <w:rPr>
          <w:rFonts w:asciiTheme="majorHAnsi" w:hAnsiTheme="majorHAnsi"/>
          <w:i/>
          <w:iCs/>
          <w:color w:val="121212"/>
          <w:sz w:val="19"/>
          <w:szCs w:val="19"/>
        </w:rPr>
        <w:t xml:space="preserve"> </w:t>
      </w:r>
      <w:r w:rsidR="00384C78">
        <w:rPr>
          <w:rFonts w:asciiTheme="majorHAnsi" w:hAnsiTheme="majorHAnsi"/>
          <w:i/>
          <w:iCs/>
          <w:color w:val="121212"/>
          <w:sz w:val="19"/>
          <w:szCs w:val="19"/>
        </w:rPr>
        <w:t>y el último salario</w:t>
      </w:r>
      <w:r w:rsidR="00031E23">
        <w:rPr>
          <w:rFonts w:asciiTheme="majorHAnsi" w:hAnsiTheme="majorHAnsi"/>
          <w:i/>
          <w:iCs/>
          <w:color w:val="121212"/>
          <w:sz w:val="19"/>
          <w:szCs w:val="19"/>
        </w:rPr>
        <w:t xml:space="preserve">) </w:t>
      </w:r>
      <w:proofErr w:type="gramStart"/>
      <w:r w:rsidR="00031E23">
        <w:rPr>
          <w:rFonts w:asciiTheme="majorHAnsi" w:hAnsiTheme="majorHAnsi"/>
          <w:i/>
          <w:iCs/>
          <w:color w:val="121212"/>
          <w:sz w:val="19"/>
          <w:szCs w:val="19"/>
        </w:rPr>
        <w:t>dos puntos porcentuales</w:t>
      </w:r>
      <w:r w:rsidR="00EB2970" w:rsidRPr="00EB2970">
        <w:rPr>
          <w:rFonts w:asciiTheme="majorHAnsi" w:hAnsiTheme="majorHAnsi"/>
          <w:i/>
          <w:iCs/>
          <w:color w:val="121212"/>
          <w:sz w:val="19"/>
          <w:szCs w:val="19"/>
        </w:rPr>
        <w:t xml:space="preserve"> más baja</w:t>
      </w:r>
      <w:proofErr w:type="gramEnd"/>
      <w:r w:rsidR="00EB2970" w:rsidRPr="00EB2970">
        <w:rPr>
          <w:rFonts w:asciiTheme="majorHAnsi" w:hAnsiTheme="majorHAnsi"/>
          <w:i/>
          <w:iCs/>
          <w:color w:val="121212"/>
          <w:sz w:val="19"/>
          <w:szCs w:val="19"/>
        </w:rPr>
        <w:t xml:space="preserve"> que la actual. Si, además, </w:t>
      </w:r>
      <w:r w:rsidR="00031E23">
        <w:rPr>
          <w:rFonts w:asciiTheme="majorHAnsi" w:hAnsiTheme="majorHAnsi"/>
          <w:i/>
          <w:iCs/>
          <w:color w:val="121212"/>
          <w:sz w:val="19"/>
          <w:szCs w:val="19"/>
        </w:rPr>
        <w:t xml:space="preserve">se </w:t>
      </w:r>
      <w:r w:rsidR="00384C78">
        <w:rPr>
          <w:rFonts w:asciiTheme="majorHAnsi" w:hAnsiTheme="majorHAnsi"/>
          <w:i/>
          <w:iCs/>
          <w:color w:val="121212"/>
          <w:sz w:val="19"/>
          <w:szCs w:val="19"/>
        </w:rPr>
        <w:t>implantaran</w:t>
      </w:r>
      <w:r w:rsidR="00EB2970" w:rsidRPr="00EB2970">
        <w:rPr>
          <w:rFonts w:asciiTheme="majorHAnsi" w:hAnsiTheme="majorHAnsi"/>
          <w:i/>
          <w:iCs/>
          <w:color w:val="121212"/>
          <w:sz w:val="19"/>
          <w:szCs w:val="19"/>
        </w:rPr>
        <w:t xml:space="preserve"> </w:t>
      </w:r>
      <w:r w:rsidR="00384C78">
        <w:rPr>
          <w:rFonts w:asciiTheme="majorHAnsi" w:hAnsiTheme="majorHAnsi"/>
          <w:i/>
          <w:iCs/>
          <w:color w:val="121212"/>
          <w:sz w:val="19"/>
          <w:szCs w:val="19"/>
        </w:rPr>
        <w:t xml:space="preserve">en el futuro </w:t>
      </w:r>
      <w:r w:rsidR="00EB2970" w:rsidRPr="00EB2970">
        <w:rPr>
          <w:rFonts w:asciiTheme="majorHAnsi" w:hAnsiTheme="majorHAnsi"/>
          <w:i/>
          <w:iCs/>
          <w:color w:val="121212"/>
          <w:sz w:val="19"/>
          <w:szCs w:val="19"/>
        </w:rPr>
        <w:t xml:space="preserve">las reformas que se están </w:t>
      </w:r>
      <w:r w:rsidR="00384C78">
        <w:rPr>
          <w:rFonts w:asciiTheme="majorHAnsi" w:hAnsiTheme="majorHAnsi"/>
          <w:i/>
          <w:iCs/>
          <w:color w:val="121212"/>
          <w:sz w:val="19"/>
          <w:szCs w:val="19"/>
        </w:rPr>
        <w:t>aplicando en otros países de nuestro entorno</w:t>
      </w:r>
      <w:r w:rsidR="00EB2970" w:rsidRPr="00EB2970">
        <w:rPr>
          <w:rFonts w:asciiTheme="majorHAnsi" w:hAnsiTheme="majorHAnsi"/>
          <w:i/>
          <w:iCs/>
          <w:color w:val="121212"/>
          <w:sz w:val="19"/>
          <w:szCs w:val="19"/>
        </w:rPr>
        <w:t xml:space="preserve">, se produciría una bajada de la tasa de reemplazo </w:t>
      </w:r>
      <w:r w:rsidR="00730D4C">
        <w:rPr>
          <w:rFonts w:asciiTheme="majorHAnsi" w:hAnsiTheme="majorHAnsi"/>
          <w:i/>
          <w:iCs/>
          <w:color w:val="121212"/>
          <w:sz w:val="19"/>
          <w:szCs w:val="19"/>
        </w:rPr>
        <w:t>de entre 10 y</w:t>
      </w:r>
      <w:r w:rsidR="00031E23">
        <w:rPr>
          <w:rFonts w:asciiTheme="majorHAnsi" w:hAnsiTheme="majorHAnsi"/>
          <w:i/>
          <w:iCs/>
          <w:color w:val="121212"/>
          <w:sz w:val="19"/>
          <w:szCs w:val="19"/>
        </w:rPr>
        <w:t xml:space="preserve"> </w:t>
      </w:r>
      <w:r w:rsidR="00EB2970" w:rsidRPr="00EB2970">
        <w:rPr>
          <w:rFonts w:asciiTheme="majorHAnsi" w:hAnsiTheme="majorHAnsi"/>
          <w:i/>
          <w:iCs/>
          <w:color w:val="121212"/>
          <w:sz w:val="19"/>
          <w:szCs w:val="19"/>
        </w:rPr>
        <w:t>20 puntos porcentuales</w:t>
      </w:r>
      <w:r w:rsidR="00730D4C">
        <w:rPr>
          <w:rFonts w:asciiTheme="majorHAnsi" w:hAnsiTheme="majorHAnsi"/>
          <w:i/>
          <w:iCs/>
          <w:color w:val="121212"/>
          <w:sz w:val="19"/>
          <w:szCs w:val="19"/>
        </w:rPr>
        <w:t xml:space="preserve"> adicionales</w:t>
      </w:r>
      <w:r w:rsidR="00EB2970" w:rsidRPr="00EB2970">
        <w:rPr>
          <w:rFonts w:asciiTheme="majorHAnsi" w:hAnsiTheme="majorHAnsi"/>
          <w:i/>
          <w:iCs/>
          <w:color w:val="121212"/>
          <w:sz w:val="19"/>
          <w:szCs w:val="19"/>
        </w:rPr>
        <w:t>.</w:t>
      </w:r>
      <w:r w:rsidR="00EB2970">
        <w:rPr>
          <w:rFonts w:asciiTheme="majorHAnsi" w:hAnsiTheme="majorHAnsi"/>
          <w:i/>
          <w:iCs/>
          <w:color w:val="121212"/>
          <w:sz w:val="19"/>
          <w:szCs w:val="19"/>
        </w:rPr>
        <w:t xml:space="preserve"> </w:t>
      </w:r>
      <w:r w:rsidR="00B41C85">
        <w:rPr>
          <w:rFonts w:asciiTheme="majorHAnsi" w:hAnsiTheme="majorHAnsi"/>
          <w:i/>
          <w:iCs/>
          <w:color w:val="121212"/>
          <w:sz w:val="19"/>
          <w:szCs w:val="19"/>
        </w:rPr>
        <w:t>Es decir, en el caso de las personas que solo pudieran acumular 30 años cotizados</w:t>
      </w:r>
      <w:r w:rsidR="00BB2C5A">
        <w:rPr>
          <w:rFonts w:asciiTheme="majorHAnsi" w:hAnsiTheme="majorHAnsi"/>
          <w:i/>
          <w:iCs/>
          <w:color w:val="121212"/>
          <w:sz w:val="19"/>
          <w:szCs w:val="19"/>
        </w:rPr>
        <w:t>,</w:t>
      </w:r>
      <w:r w:rsidR="00B41C85">
        <w:rPr>
          <w:rFonts w:asciiTheme="majorHAnsi" w:hAnsiTheme="majorHAnsi"/>
          <w:i/>
          <w:iCs/>
          <w:color w:val="121212"/>
          <w:sz w:val="19"/>
          <w:szCs w:val="19"/>
        </w:rPr>
        <w:t xml:space="preserve"> la tasa de reemplazo sería del 57,6%, frente al 77,1% de los que hoy se están jubilando con ese mismo número de años trabajados. </w:t>
      </w:r>
    </w:p>
    <w:p w14:paraId="3FCAC70B" w14:textId="1D7836FA" w:rsidR="00BE2667" w:rsidRDefault="002E4CCD" w:rsidP="00F63D56">
      <w:pPr>
        <w:widowControl/>
        <w:spacing w:before="120"/>
        <w:ind w:right="0"/>
        <w:jc w:val="both"/>
        <w:rPr>
          <w:color w:val="545454"/>
          <w:sz w:val="17"/>
          <w:szCs w:val="17"/>
        </w:rPr>
      </w:pPr>
      <w:r>
        <w:rPr>
          <w:color w:val="545454"/>
          <w:sz w:val="17"/>
          <w:szCs w:val="17"/>
        </w:rPr>
        <w:t>La tasa de</w:t>
      </w:r>
      <w:r w:rsidR="00320C5F">
        <w:rPr>
          <w:color w:val="545454"/>
          <w:sz w:val="17"/>
          <w:szCs w:val="17"/>
        </w:rPr>
        <w:t xml:space="preserve"> ocupación </w:t>
      </w:r>
      <w:r>
        <w:rPr>
          <w:color w:val="545454"/>
          <w:sz w:val="17"/>
          <w:szCs w:val="17"/>
        </w:rPr>
        <w:t xml:space="preserve">de las personas entre 16 y 29 años se sitúa en el </w:t>
      </w:r>
      <w:r w:rsidR="00F87D69">
        <w:rPr>
          <w:color w:val="545454"/>
          <w:sz w:val="17"/>
          <w:szCs w:val="17"/>
        </w:rPr>
        <w:t>43,2</w:t>
      </w:r>
      <w:r>
        <w:rPr>
          <w:color w:val="545454"/>
          <w:sz w:val="17"/>
          <w:szCs w:val="17"/>
        </w:rPr>
        <w:t>%</w:t>
      </w:r>
      <w:r w:rsidR="0049281D">
        <w:rPr>
          <w:color w:val="545454"/>
          <w:sz w:val="17"/>
          <w:szCs w:val="17"/>
        </w:rPr>
        <w:t xml:space="preserve"> en 2024</w:t>
      </w:r>
      <w:r>
        <w:rPr>
          <w:color w:val="545454"/>
          <w:sz w:val="17"/>
          <w:szCs w:val="17"/>
        </w:rPr>
        <w:t xml:space="preserve">, </w:t>
      </w:r>
      <w:r w:rsidR="006333DD">
        <w:rPr>
          <w:color w:val="545454"/>
          <w:sz w:val="17"/>
          <w:szCs w:val="17"/>
        </w:rPr>
        <w:t>15</w:t>
      </w:r>
      <w:r>
        <w:rPr>
          <w:color w:val="545454"/>
          <w:sz w:val="17"/>
          <w:szCs w:val="17"/>
        </w:rPr>
        <w:t xml:space="preserve"> puntos </w:t>
      </w:r>
      <w:r w:rsidR="005F2814">
        <w:rPr>
          <w:color w:val="545454"/>
          <w:sz w:val="17"/>
          <w:szCs w:val="17"/>
        </w:rPr>
        <w:t xml:space="preserve">porcentuales </w:t>
      </w:r>
      <w:r>
        <w:rPr>
          <w:color w:val="545454"/>
          <w:sz w:val="17"/>
          <w:szCs w:val="17"/>
        </w:rPr>
        <w:t>por debajo de la que se registraba en 2007 para ese mismo grupo de edad</w:t>
      </w:r>
      <w:r w:rsidR="005F2814">
        <w:rPr>
          <w:color w:val="545454"/>
          <w:sz w:val="17"/>
          <w:szCs w:val="17"/>
        </w:rPr>
        <w:t xml:space="preserve"> (58,7%)</w:t>
      </w:r>
      <w:r>
        <w:rPr>
          <w:color w:val="545454"/>
          <w:sz w:val="17"/>
          <w:szCs w:val="17"/>
        </w:rPr>
        <w:t xml:space="preserve">. </w:t>
      </w:r>
      <w:r w:rsidR="0049281D">
        <w:rPr>
          <w:color w:val="545454"/>
          <w:sz w:val="17"/>
          <w:szCs w:val="17"/>
        </w:rPr>
        <w:t xml:space="preserve">El </w:t>
      </w:r>
      <w:r w:rsidR="006E047F">
        <w:rPr>
          <w:color w:val="545454"/>
          <w:sz w:val="17"/>
          <w:szCs w:val="17"/>
        </w:rPr>
        <w:t>acceso más tardío a un empleo dificultará que l</w:t>
      </w:r>
      <w:r w:rsidR="007873F4">
        <w:rPr>
          <w:color w:val="545454"/>
          <w:sz w:val="17"/>
          <w:szCs w:val="17"/>
        </w:rPr>
        <w:t xml:space="preserve">os jóvenes </w:t>
      </w:r>
      <w:r w:rsidR="006E047F">
        <w:rPr>
          <w:color w:val="545454"/>
          <w:sz w:val="17"/>
          <w:szCs w:val="17"/>
        </w:rPr>
        <w:t>de hoy en día</w:t>
      </w:r>
      <w:r w:rsidR="007873F4">
        <w:rPr>
          <w:color w:val="545454"/>
          <w:sz w:val="17"/>
          <w:szCs w:val="17"/>
        </w:rPr>
        <w:t xml:space="preserve"> logren completar carreras laborales suficientemente largas</w:t>
      </w:r>
      <w:r w:rsidR="006E047F">
        <w:rPr>
          <w:color w:val="545454"/>
          <w:sz w:val="17"/>
          <w:szCs w:val="17"/>
        </w:rPr>
        <w:t xml:space="preserve"> y, por lo tanto,</w:t>
      </w:r>
      <w:r w:rsidR="007873F4">
        <w:rPr>
          <w:color w:val="545454"/>
          <w:sz w:val="17"/>
          <w:szCs w:val="17"/>
        </w:rPr>
        <w:t xml:space="preserve"> tendrán que prolongar su permanencia en el mundo laboral para conseguir una pensión que les permita mantener su nivel de vida. Además, </w:t>
      </w:r>
      <w:r w:rsidR="006E047F">
        <w:rPr>
          <w:color w:val="545454"/>
          <w:sz w:val="17"/>
          <w:szCs w:val="17"/>
        </w:rPr>
        <w:t>la jubilación de estos jóvenes también</w:t>
      </w:r>
      <w:r w:rsidR="007873F4" w:rsidRPr="00EB2970">
        <w:rPr>
          <w:color w:val="545454"/>
          <w:sz w:val="17"/>
          <w:szCs w:val="17"/>
        </w:rPr>
        <w:t xml:space="preserve"> se </w:t>
      </w:r>
      <w:r w:rsidR="006E047F">
        <w:rPr>
          <w:color w:val="545454"/>
          <w:sz w:val="17"/>
          <w:szCs w:val="17"/>
        </w:rPr>
        <w:t>verá</w:t>
      </w:r>
      <w:r w:rsidR="007873F4" w:rsidRPr="00EB2970">
        <w:rPr>
          <w:color w:val="545454"/>
          <w:sz w:val="17"/>
          <w:szCs w:val="17"/>
        </w:rPr>
        <w:t xml:space="preserve"> afectad</w:t>
      </w:r>
      <w:r w:rsidR="006E047F">
        <w:rPr>
          <w:color w:val="545454"/>
          <w:sz w:val="17"/>
          <w:szCs w:val="17"/>
        </w:rPr>
        <w:t>a</w:t>
      </w:r>
      <w:r w:rsidR="007873F4" w:rsidRPr="00EB2970">
        <w:rPr>
          <w:color w:val="545454"/>
          <w:sz w:val="17"/>
          <w:szCs w:val="17"/>
        </w:rPr>
        <w:t xml:space="preserve"> por las reformas recientemente introducidas en el sistema de pensiones español, pero cuya implantación total se producirá más allá de 2050.</w:t>
      </w:r>
      <w:r w:rsidR="007873F4">
        <w:rPr>
          <w:color w:val="545454"/>
          <w:sz w:val="17"/>
          <w:szCs w:val="17"/>
        </w:rPr>
        <w:t xml:space="preserve"> </w:t>
      </w:r>
    </w:p>
    <w:p w14:paraId="6142CBBC" w14:textId="1B50D243" w:rsidR="00BE2667" w:rsidRPr="00A75EFA" w:rsidRDefault="00BE2667" w:rsidP="00BE2667">
      <w:pPr>
        <w:pBdr>
          <w:top w:val="single" w:sz="4" w:space="1" w:color="auto"/>
        </w:pBdr>
        <w:spacing w:after="0"/>
        <w:ind w:right="0"/>
        <w:rPr>
          <w:rFonts w:eastAsia="Tahoma" w:cs="Tahoma"/>
          <w:b/>
          <w:bCs/>
          <w:color w:val="121212" w:themeColor="background2"/>
          <w:kern w:val="24"/>
          <w:szCs w:val="18"/>
        </w:rPr>
      </w:pPr>
      <w:r w:rsidRPr="00BE2667">
        <w:rPr>
          <w:rFonts w:eastAsia="Tahoma" w:cs="Tahoma"/>
          <w:b/>
          <w:bCs/>
          <w:color w:val="121212" w:themeColor="background2"/>
          <w:kern w:val="24"/>
          <w:szCs w:val="18"/>
        </w:rPr>
        <w:t>Tasa de ocupación de los jóvenes de 16 a 29 años. 2007-2024 (ocupados/población en edad de trabajar, porcentaje)</w:t>
      </w:r>
      <w:r w:rsidRPr="006D5FD9">
        <w:rPr>
          <w:rFonts w:eastAsia="Tahoma" w:cs="Tahoma"/>
          <w:b/>
          <w:bCs/>
          <w:color w:val="121212" w:themeColor="background2"/>
          <w:kern w:val="24"/>
          <w:szCs w:val="18"/>
        </w:rPr>
        <w:t xml:space="preserve"> </w:t>
      </w:r>
      <w:hyperlink r:id="rId11" w:history="1">
        <w:r w:rsidRPr="00E93A75">
          <w:rPr>
            <w:rStyle w:val="Hipervnculo"/>
            <w:b/>
            <w:sz w:val="14"/>
            <w:szCs w:val="14"/>
          </w:rPr>
          <w:t>Descargar  &gt;</w:t>
        </w:r>
      </w:hyperlink>
    </w:p>
    <w:p w14:paraId="01E30A34" w14:textId="013903F7" w:rsidR="00A7709C" w:rsidRDefault="00A7709C" w:rsidP="00EB2970">
      <w:pPr>
        <w:widowControl/>
        <w:spacing w:before="120"/>
        <w:ind w:right="0"/>
        <w:rPr>
          <w:color w:val="545454"/>
          <w:sz w:val="17"/>
          <w:szCs w:val="17"/>
        </w:rPr>
      </w:pPr>
      <w:r>
        <w:rPr>
          <w:noProof/>
        </w:rPr>
        <w:drawing>
          <wp:inline distT="0" distB="0" distL="0" distR="0" wp14:anchorId="0359D93A" wp14:editId="1695A05D">
            <wp:extent cx="3235960" cy="1664121"/>
            <wp:effectExtent l="0" t="0" r="2540" b="0"/>
            <wp:docPr id="1443739933" name="Gráfico 1">
              <a:extLst xmlns:a="http://schemas.openxmlformats.org/drawingml/2006/main">
                <a:ext uri="{FF2B5EF4-FFF2-40B4-BE49-F238E27FC236}">
                  <a16:creationId xmlns:a16="http://schemas.microsoft.com/office/drawing/2014/main" id="{B1A9BFFC-DD35-49EC-85A4-84DFEA823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3643EA" w14:textId="4F43E7EB" w:rsidR="00BE2667" w:rsidRPr="00BE2667" w:rsidRDefault="00BE2667" w:rsidP="00BE2667">
      <w:pPr>
        <w:pBdr>
          <w:bottom w:val="single" w:sz="4" w:space="1" w:color="auto"/>
        </w:pBdr>
        <w:spacing w:before="60" w:after="0"/>
        <w:rPr>
          <w:rFonts w:asciiTheme="majorHAnsi" w:eastAsia="Times New Roman" w:hAnsiTheme="majorHAnsi" w:cs="Calibri"/>
          <w:sz w:val="14"/>
          <w:szCs w:val="14"/>
        </w:rPr>
      </w:pPr>
      <w:r w:rsidRPr="00BE2667">
        <w:rPr>
          <w:rFonts w:asciiTheme="majorHAnsi" w:eastAsia="Times New Roman" w:hAnsiTheme="majorHAnsi" w:cs="Calibri"/>
          <w:sz w:val="14"/>
          <w:szCs w:val="14"/>
        </w:rPr>
        <w:t xml:space="preserve">Fuente: INE  </w:t>
      </w:r>
    </w:p>
    <w:p w14:paraId="61DDFE76" w14:textId="550E0FB1" w:rsidR="0049281D" w:rsidRPr="0049281D" w:rsidRDefault="0049281D" w:rsidP="00F63D56">
      <w:pPr>
        <w:widowControl/>
        <w:spacing w:before="240"/>
        <w:ind w:right="0"/>
        <w:jc w:val="both"/>
        <w:rPr>
          <w:color w:val="545454"/>
          <w:sz w:val="17"/>
          <w:szCs w:val="17"/>
        </w:rPr>
      </w:pPr>
      <w:r>
        <w:rPr>
          <w:color w:val="545454"/>
          <w:sz w:val="17"/>
          <w:szCs w:val="17"/>
        </w:rPr>
        <w:t>Entre esas modificaciones destacan el au</w:t>
      </w:r>
      <w:r w:rsidRPr="0049281D">
        <w:rPr>
          <w:color w:val="545454"/>
          <w:sz w:val="17"/>
          <w:szCs w:val="17"/>
        </w:rPr>
        <w:t>mento de la edad ordinaria de jubilación hasta los 67 años con menos de 38,5 años cotizados en 2027</w:t>
      </w:r>
      <w:r>
        <w:rPr>
          <w:color w:val="545454"/>
          <w:sz w:val="17"/>
          <w:szCs w:val="17"/>
        </w:rPr>
        <w:t xml:space="preserve"> y el a</w:t>
      </w:r>
      <w:r w:rsidRPr="0049281D">
        <w:rPr>
          <w:color w:val="545454"/>
          <w:sz w:val="17"/>
          <w:szCs w:val="17"/>
        </w:rPr>
        <w:t xml:space="preserve">umento hasta 37 años cotizados necesarios para alcanzar un 100% de la </w:t>
      </w:r>
      <w:r w:rsidR="006333DD">
        <w:rPr>
          <w:color w:val="545454"/>
          <w:sz w:val="17"/>
          <w:szCs w:val="17"/>
        </w:rPr>
        <w:t>b</w:t>
      </w:r>
      <w:r w:rsidRPr="0049281D">
        <w:rPr>
          <w:color w:val="545454"/>
          <w:sz w:val="17"/>
          <w:szCs w:val="17"/>
        </w:rPr>
        <w:t>ase reguladora en 2027.</w:t>
      </w:r>
      <w:r>
        <w:rPr>
          <w:color w:val="545454"/>
          <w:sz w:val="17"/>
          <w:szCs w:val="17"/>
        </w:rPr>
        <w:t xml:space="preserve"> También </w:t>
      </w:r>
      <w:r w:rsidR="003D2305">
        <w:rPr>
          <w:color w:val="545454"/>
          <w:sz w:val="17"/>
          <w:szCs w:val="17"/>
        </w:rPr>
        <w:t xml:space="preserve">se contempla </w:t>
      </w:r>
      <w:r>
        <w:rPr>
          <w:color w:val="545454"/>
          <w:sz w:val="17"/>
          <w:szCs w:val="17"/>
        </w:rPr>
        <w:t>la a</w:t>
      </w:r>
      <w:r w:rsidRPr="0049281D">
        <w:rPr>
          <w:color w:val="545454"/>
          <w:sz w:val="17"/>
          <w:szCs w:val="17"/>
        </w:rPr>
        <w:t xml:space="preserve">mpliación del número de años para calcular la base reguladora, </w:t>
      </w:r>
      <w:r w:rsidR="003D2305">
        <w:rPr>
          <w:color w:val="545454"/>
          <w:sz w:val="17"/>
          <w:szCs w:val="17"/>
        </w:rPr>
        <w:t>para llegar</w:t>
      </w:r>
      <w:r w:rsidR="003D2305" w:rsidRPr="0049281D">
        <w:rPr>
          <w:color w:val="545454"/>
          <w:sz w:val="17"/>
          <w:szCs w:val="17"/>
        </w:rPr>
        <w:t xml:space="preserve"> </w:t>
      </w:r>
      <w:r w:rsidRPr="0049281D">
        <w:rPr>
          <w:color w:val="545454"/>
          <w:sz w:val="17"/>
          <w:szCs w:val="17"/>
        </w:rPr>
        <w:t xml:space="preserve">en 2044 a considerar los 27 mejores años dentro de los </w:t>
      </w:r>
      <w:r w:rsidR="00384C78">
        <w:rPr>
          <w:color w:val="545454"/>
          <w:sz w:val="17"/>
          <w:szCs w:val="17"/>
        </w:rPr>
        <w:t xml:space="preserve">últimos </w:t>
      </w:r>
      <w:r w:rsidRPr="0049281D">
        <w:rPr>
          <w:color w:val="545454"/>
          <w:sz w:val="17"/>
          <w:szCs w:val="17"/>
        </w:rPr>
        <w:t>29</w:t>
      </w:r>
      <w:r w:rsidR="003D2305">
        <w:rPr>
          <w:color w:val="545454"/>
          <w:sz w:val="17"/>
          <w:szCs w:val="17"/>
        </w:rPr>
        <w:t xml:space="preserve">. </w:t>
      </w:r>
      <w:r w:rsidR="006333DD">
        <w:rPr>
          <w:color w:val="545454"/>
          <w:sz w:val="17"/>
          <w:szCs w:val="17"/>
        </w:rPr>
        <w:t>Además, con e</w:t>
      </w:r>
      <w:r>
        <w:rPr>
          <w:color w:val="545454"/>
          <w:sz w:val="17"/>
          <w:szCs w:val="17"/>
        </w:rPr>
        <w:t xml:space="preserve">l </w:t>
      </w:r>
      <w:r w:rsidR="006333DD">
        <w:rPr>
          <w:color w:val="545454"/>
          <w:sz w:val="17"/>
          <w:szCs w:val="17"/>
        </w:rPr>
        <w:t>m</w:t>
      </w:r>
      <w:r>
        <w:rPr>
          <w:color w:val="545454"/>
          <w:sz w:val="17"/>
          <w:szCs w:val="17"/>
        </w:rPr>
        <w:t>ecanismo</w:t>
      </w:r>
      <w:r w:rsidRPr="0049281D">
        <w:rPr>
          <w:color w:val="545454"/>
          <w:sz w:val="17"/>
          <w:szCs w:val="17"/>
        </w:rPr>
        <w:t xml:space="preserve"> de </w:t>
      </w:r>
      <w:r w:rsidR="006333DD">
        <w:rPr>
          <w:color w:val="545454"/>
          <w:sz w:val="17"/>
          <w:szCs w:val="17"/>
        </w:rPr>
        <w:t>e</w:t>
      </w:r>
      <w:r w:rsidRPr="0049281D">
        <w:rPr>
          <w:color w:val="545454"/>
          <w:sz w:val="17"/>
          <w:szCs w:val="17"/>
        </w:rPr>
        <w:t xml:space="preserve">quidad </w:t>
      </w:r>
      <w:r w:rsidR="006333DD">
        <w:rPr>
          <w:color w:val="545454"/>
          <w:sz w:val="17"/>
          <w:szCs w:val="17"/>
        </w:rPr>
        <w:t>i</w:t>
      </w:r>
      <w:r w:rsidRPr="0049281D">
        <w:rPr>
          <w:color w:val="545454"/>
          <w:sz w:val="17"/>
          <w:szCs w:val="17"/>
        </w:rPr>
        <w:t>ntergeneracional, aumenta el tipo de cotización en 0,1 puntos porcentuales</w:t>
      </w:r>
      <w:r w:rsidR="00B67967">
        <w:rPr>
          <w:color w:val="545454"/>
          <w:sz w:val="17"/>
          <w:szCs w:val="17"/>
        </w:rPr>
        <w:t xml:space="preserve"> por año</w:t>
      </w:r>
      <w:r w:rsidRPr="0049281D">
        <w:rPr>
          <w:color w:val="545454"/>
          <w:sz w:val="17"/>
          <w:szCs w:val="17"/>
        </w:rPr>
        <w:t xml:space="preserve"> desde el 0,8% en 2025 hasta el 1,2% en 2029</w:t>
      </w:r>
      <w:r w:rsidR="006333DD">
        <w:rPr>
          <w:color w:val="545454"/>
          <w:sz w:val="17"/>
          <w:szCs w:val="17"/>
        </w:rPr>
        <w:t>.  Y</w:t>
      </w:r>
      <w:r w:rsidRPr="0049281D">
        <w:rPr>
          <w:color w:val="545454"/>
          <w:sz w:val="17"/>
          <w:szCs w:val="17"/>
        </w:rPr>
        <w:t xml:space="preserve"> aumentar</w:t>
      </w:r>
      <w:r w:rsidR="00A310FB">
        <w:rPr>
          <w:color w:val="545454"/>
          <w:sz w:val="17"/>
          <w:szCs w:val="17"/>
        </w:rPr>
        <w:t>á</w:t>
      </w:r>
      <w:r w:rsidRPr="0049281D">
        <w:rPr>
          <w:color w:val="545454"/>
          <w:sz w:val="17"/>
          <w:szCs w:val="17"/>
        </w:rPr>
        <w:t xml:space="preserve"> aún más si el déficit de la Seguridad Social </w:t>
      </w:r>
      <w:r w:rsidR="006569C2">
        <w:rPr>
          <w:color w:val="545454"/>
          <w:sz w:val="17"/>
          <w:szCs w:val="17"/>
        </w:rPr>
        <w:t>se incrementa</w:t>
      </w:r>
      <w:r>
        <w:rPr>
          <w:color w:val="545454"/>
          <w:sz w:val="17"/>
          <w:szCs w:val="17"/>
        </w:rPr>
        <w:t>.</w:t>
      </w:r>
    </w:p>
    <w:p w14:paraId="5A9B4155" w14:textId="369AB608" w:rsidR="00EB2970" w:rsidRPr="00EB2970" w:rsidRDefault="006E047F" w:rsidP="00F63D56">
      <w:pPr>
        <w:widowControl/>
        <w:spacing w:before="120"/>
        <w:ind w:right="0"/>
        <w:jc w:val="both"/>
        <w:rPr>
          <w:color w:val="545454"/>
          <w:sz w:val="17"/>
          <w:szCs w:val="17"/>
        </w:rPr>
      </w:pPr>
      <w:r>
        <w:rPr>
          <w:color w:val="545454"/>
          <w:sz w:val="17"/>
          <w:szCs w:val="17"/>
        </w:rPr>
        <w:t>Para analizar l</w:t>
      </w:r>
      <w:r w:rsidR="0049281D">
        <w:rPr>
          <w:color w:val="545454"/>
          <w:sz w:val="17"/>
          <w:szCs w:val="17"/>
        </w:rPr>
        <w:t>os cambios que estas y otras variables incorporadas puedan suponer en las pensiones futuras de los jóvenes de hoy se puede utilizar l</w:t>
      </w:r>
      <w:r w:rsidR="00EB2970" w:rsidRPr="00EB2970">
        <w:rPr>
          <w:color w:val="545454"/>
          <w:sz w:val="17"/>
          <w:szCs w:val="17"/>
        </w:rPr>
        <w:t>a tasa bruta teórica de reemplazo (</w:t>
      </w:r>
      <w:r w:rsidR="006333DD">
        <w:rPr>
          <w:i/>
          <w:iCs/>
          <w:color w:val="545454"/>
          <w:sz w:val="17"/>
          <w:szCs w:val="17"/>
        </w:rPr>
        <w:t>g</w:t>
      </w:r>
      <w:r w:rsidR="00EB2970" w:rsidRPr="00ED0131">
        <w:rPr>
          <w:i/>
          <w:iCs/>
          <w:color w:val="545454"/>
          <w:sz w:val="17"/>
          <w:szCs w:val="17"/>
        </w:rPr>
        <w:t xml:space="preserve">ross </w:t>
      </w:r>
      <w:r w:rsidR="006333DD">
        <w:rPr>
          <w:i/>
          <w:iCs/>
          <w:color w:val="545454"/>
          <w:sz w:val="17"/>
          <w:szCs w:val="17"/>
        </w:rPr>
        <w:t>t</w:t>
      </w:r>
      <w:r w:rsidR="00EB2970" w:rsidRPr="00ED0131">
        <w:rPr>
          <w:i/>
          <w:iCs/>
          <w:color w:val="545454"/>
          <w:sz w:val="17"/>
          <w:szCs w:val="17"/>
        </w:rPr>
        <w:t xml:space="preserve">heoretical </w:t>
      </w:r>
      <w:r w:rsidR="006333DD">
        <w:rPr>
          <w:i/>
          <w:iCs/>
          <w:color w:val="545454"/>
          <w:sz w:val="17"/>
          <w:szCs w:val="17"/>
        </w:rPr>
        <w:t>r</w:t>
      </w:r>
      <w:r w:rsidR="00EB2970" w:rsidRPr="00ED0131">
        <w:rPr>
          <w:i/>
          <w:iCs/>
          <w:color w:val="545454"/>
          <w:sz w:val="17"/>
          <w:szCs w:val="17"/>
        </w:rPr>
        <w:t xml:space="preserve">eplacement </w:t>
      </w:r>
      <w:r w:rsidR="00E473AC">
        <w:rPr>
          <w:i/>
          <w:iCs/>
          <w:color w:val="545454"/>
          <w:sz w:val="17"/>
          <w:szCs w:val="17"/>
        </w:rPr>
        <w:t>r</w:t>
      </w:r>
      <w:r w:rsidR="00EB2970" w:rsidRPr="00ED0131">
        <w:rPr>
          <w:i/>
          <w:iCs/>
          <w:color w:val="545454"/>
          <w:sz w:val="17"/>
          <w:szCs w:val="17"/>
        </w:rPr>
        <w:t>ate</w:t>
      </w:r>
      <w:r w:rsidR="00EB2970" w:rsidRPr="00EB2970">
        <w:rPr>
          <w:color w:val="545454"/>
          <w:sz w:val="17"/>
          <w:szCs w:val="17"/>
        </w:rPr>
        <w:t>)</w:t>
      </w:r>
      <w:r w:rsidR="0049281D">
        <w:rPr>
          <w:color w:val="545454"/>
          <w:sz w:val="17"/>
          <w:szCs w:val="17"/>
        </w:rPr>
        <w:t>,</w:t>
      </w:r>
      <w:r w:rsidR="00EB2970" w:rsidRPr="00EB2970">
        <w:rPr>
          <w:color w:val="545454"/>
          <w:sz w:val="17"/>
          <w:szCs w:val="17"/>
        </w:rPr>
        <w:t xml:space="preserve"> un indicador que mide la relación entre la primera pensión anual de jubilación que recibiría una persona y su salario anual en el último año de vida laboral. Es un indicador adecuado para </w:t>
      </w:r>
      <w:r w:rsidR="00EB2970" w:rsidRPr="00EB2970">
        <w:rPr>
          <w:color w:val="545454"/>
          <w:sz w:val="17"/>
          <w:szCs w:val="17"/>
        </w:rPr>
        <w:t xml:space="preserve">comparar la situación en la que se encuentran individuos homogéneos en función de distintas normativas de cálculo de la pensión; </w:t>
      </w:r>
      <w:r w:rsidR="00A310FB">
        <w:rPr>
          <w:color w:val="545454"/>
          <w:sz w:val="17"/>
          <w:szCs w:val="17"/>
        </w:rPr>
        <w:t>aunque</w:t>
      </w:r>
      <w:r w:rsidR="00EB2970" w:rsidRPr="00EB2970">
        <w:rPr>
          <w:color w:val="545454"/>
          <w:sz w:val="17"/>
          <w:szCs w:val="17"/>
        </w:rPr>
        <w:t xml:space="preserve"> tiene el inconveniente de que no </w:t>
      </w:r>
      <w:r w:rsidR="006649B0">
        <w:rPr>
          <w:color w:val="545454"/>
          <w:sz w:val="17"/>
          <w:szCs w:val="17"/>
        </w:rPr>
        <w:t>considera</w:t>
      </w:r>
      <w:r w:rsidR="00EB2970" w:rsidRPr="00EB2970">
        <w:rPr>
          <w:color w:val="545454"/>
          <w:sz w:val="17"/>
          <w:szCs w:val="17"/>
        </w:rPr>
        <w:t xml:space="preserve"> las subidas del tipo de cotización</w:t>
      </w:r>
      <w:r w:rsidR="006649B0">
        <w:rPr>
          <w:color w:val="545454"/>
          <w:sz w:val="17"/>
          <w:szCs w:val="17"/>
        </w:rPr>
        <w:t xml:space="preserve"> si estas no suponen un incremento de pensión</w:t>
      </w:r>
      <w:r w:rsidR="00EB2970" w:rsidRPr="00EB2970">
        <w:rPr>
          <w:color w:val="545454"/>
          <w:sz w:val="17"/>
          <w:szCs w:val="17"/>
        </w:rPr>
        <w:t>.</w:t>
      </w:r>
    </w:p>
    <w:p w14:paraId="116FC327" w14:textId="37045D20" w:rsidR="00F87D69" w:rsidRDefault="00A310FB" w:rsidP="00F63D56">
      <w:pPr>
        <w:widowControl/>
        <w:spacing w:before="120"/>
        <w:ind w:right="0"/>
        <w:jc w:val="both"/>
        <w:rPr>
          <w:color w:val="545454"/>
          <w:sz w:val="17"/>
          <w:szCs w:val="17"/>
        </w:rPr>
      </w:pPr>
      <w:r>
        <w:rPr>
          <w:color w:val="545454"/>
          <w:sz w:val="17"/>
          <w:szCs w:val="17"/>
        </w:rPr>
        <w:t>De hecho, c</w:t>
      </w:r>
      <w:r w:rsidR="00EB2970" w:rsidRPr="00EB2970">
        <w:rPr>
          <w:color w:val="545454"/>
          <w:sz w:val="17"/>
          <w:szCs w:val="17"/>
        </w:rPr>
        <w:t>omo consecuencia de las reformas ya aprobadas, la mayor parte del ajuste que van a tener que soportar los jóvenes actuales se manifestará, sobre todo, por un mayor esfuerzo de cotización</w:t>
      </w:r>
      <w:r w:rsidR="00473877">
        <w:rPr>
          <w:color w:val="545454"/>
          <w:sz w:val="17"/>
          <w:szCs w:val="17"/>
        </w:rPr>
        <w:t xml:space="preserve">, </w:t>
      </w:r>
      <w:r w:rsidR="006649B0">
        <w:rPr>
          <w:color w:val="545454"/>
          <w:sz w:val="17"/>
          <w:szCs w:val="17"/>
        </w:rPr>
        <w:t>como consecuencia de la aplicación</w:t>
      </w:r>
      <w:r w:rsidR="003D2305" w:rsidRPr="003D2305">
        <w:rPr>
          <w:color w:val="545454"/>
          <w:sz w:val="17"/>
          <w:szCs w:val="17"/>
        </w:rPr>
        <w:t xml:space="preserve"> </w:t>
      </w:r>
      <w:r w:rsidR="006649B0">
        <w:rPr>
          <w:color w:val="545454"/>
          <w:sz w:val="17"/>
          <w:szCs w:val="17"/>
        </w:rPr>
        <w:t>d</w:t>
      </w:r>
      <w:r w:rsidR="003D2305" w:rsidRPr="003D2305">
        <w:rPr>
          <w:color w:val="545454"/>
          <w:sz w:val="17"/>
          <w:szCs w:val="17"/>
        </w:rPr>
        <w:t xml:space="preserve">el mecanismo de equidad intergeneracional y, en caso de salarios altos, </w:t>
      </w:r>
      <w:r w:rsidR="00884211">
        <w:rPr>
          <w:color w:val="545454"/>
          <w:sz w:val="17"/>
          <w:szCs w:val="17"/>
        </w:rPr>
        <w:t>por</w:t>
      </w:r>
      <w:r w:rsidR="00884211" w:rsidRPr="003D2305">
        <w:rPr>
          <w:color w:val="545454"/>
          <w:sz w:val="17"/>
          <w:szCs w:val="17"/>
        </w:rPr>
        <w:t xml:space="preserve"> </w:t>
      </w:r>
      <w:r w:rsidR="003D2305" w:rsidRPr="003D2305">
        <w:rPr>
          <w:color w:val="545454"/>
          <w:sz w:val="17"/>
          <w:szCs w:val="17"/>
        </w:rPr>
        <w:t xml:space="preserve">la </w:t>
      </w:r>
      <w:r w:rsidR="006649B0">
        <w:rPr>
          <w:color w:val="545454"/>
          <w:sz w:val="17"/>
          <w:szCs w:val="17"/>
        </w:rPr>
        <w:t>cuota</w:t>
      </w:r>
      <w:r w:rsidR="003D2305" w:rsidRPr="003D2305">
        <w:rPr>
          <w:color w:val="545454"/>
          <w:sz w:val="17"/>
          <w:szCs w:val="17"/>
        </w:rPr>
        <w:t xml:space="preserve"> de solidaridad</w:t>
      </w:r>
      <w:r w:rsidR="003D2305">
        <w:rPr>
          <w:color w:val="545454"/>
          <w:sz w:val="17"/>
          <w:szCs w:val="17"/>
        </w:rPr>
        <w:t xml:space="preserve">. </w:t>
      </w:r>
      <w:r w:rsidR="006649B0">
        <w:rPr>
          <w:color w:val="545454"/>
          <w:sz w:val="17"/>
          <w:szCs w:val="17"/>
        </w:rPr>
        <w:t xml:space="preserve">Estas dos últimas medidas suponen un aumento de las cotizaciones y, por lo tanto, un menor salario neto para los trabajadores; sin embargo, dado que para el cálculo de la pensión el sistema español no tiene en cuenta el tipo de cotización sino las bases de cotización, todas esas cotizaciones adicionales no van a suponer un </w:t>
      </w:r>
      <w:r w:rsidR="006333DD">
        <w:rPr>
          <w:color w:val="545454"/>
          <w:sz w:val="17"/>
          <w:szCs w:val="17"/>
        </w:rPr>
        <w:t>au</w:t>
      </w:r>
      <w:r w:rsidR="006649B0">
        <w:rPr>
          <w:color w:val="545454"/>
          <w:sz w:val="17"/>
          <w:szCs w:val="17"/>
        </w:rPr>
        <w:t>mento de pensión.</w:t>
      </w:r>
    </w:p>
    <w:p w14:paraId="2F76DA2E" w14:textId="62E60E9C" w:rsidR="00C86156" w:rsidRPr="00C86156" w:rsidRDefault="00A310FB" w:rsidP="00F63D56">
      <w:pPr>
        <w:widowControl/>
        <w:spacing w:before="120"/>
        <w:ind w:right="0"/>
        <w:jc w:val="both"/>
        <w:rPr>
          <w:color w:val="545454"/>
          <w:sz w:val="17"/>
          <w:szCs w:val="17"/>
        </w:rPr>
      </w:pPr>
      <w:r>
        <w:rPr>
          <w:color w:val="545454"/>
          <w:sz w:val="17"/>
          <w:szCs w:val="17"/>
        </w:rPr>
        <w:t xml:space="preserve">En cuanto a la </w:t>
      </w:r>
      <w:r w:rsidR="00EB2970" w:rsidRPr="00EB2970">
        <w:rPr>
          <w:color w:val="545454"/>
          <w:sz w:val="17"/>
          <w:szCs w:val="17"/>
        </w:rPr>
        <w:t>tasa de reemplazo</w:t>
      </w:r>
      <w:r>
        <w:rPr>
          <w:color w:val="545454"/>
          <w:sz w:val="17"/>
          <w:szCs w:val="17"/>
        </w:rPr>
        <w:t>, cuanto</w:t>
      </w:r>
      <w:r w:rsidR="00C86156" w:rsidRPr="00C86156">
        <w:rPr>
          <w:color w:val="545454"/>
          <w:sz w:val="17"/>
          <w:szCs w:val="17"/>
        </w:rPr>
        <w:t xml:space="preserve"> menor sea la duración de la carrera laboral, </w:t>
      </w:r>
      <w:r>
        <w:rPr>
          <w:color w:val="545454"/>
          <w:sz w:val="17"/>
          <w:szCs w:val="17"/>
        </w:rPr>
        <w:t xml:space="preserve">más baja será, es decir, la pensión será </w:t>
      </w:r>
      <w:r w:rsidR="00F87D69">
        <w:rPr>
          <w:color w:val="545454"/>
          <w:sz w:val="17"/>
          <w:szCs w:val="17"/>
        </w:rPr>
        <w:t xml:space="preserve">más reducida respecto al último salario. Esto, si </w:t>
      </w:r>
      <w:r w:rsidR="00C86156" w:rsidRPr="00C86156">
        <w:rPr>
          <w:color w:val="545454"/>
          <w:sz w:val="17"/>
          <w:szCs w:val="17"/>
        </w:rPr>
        <w:t>lo unimos a un</w:t>
      </w:r>
      <w:r w:rsidR="00F87D69">
        <w:rPr>
          <w:color w:val="545454"/>
          <w:sz w:val="17"/>
          <w:szCs w:val="17"/>
        </w:rPr>
        <w:t>os</w:t>
      </w:r>
      <w:r w:rsidR="00C86156" w:rsidRPr="00C86156">
        <w:rPr>
          <w:color w:val="545454"/>
          <w:sz w:val="17"/>
          <w:szCs w:val="17"/>
        </w:rPr>
        <w:t xml:space="preserve"> salario</w:t>
      </w:r>
      <w:r w:rsidR="00F87D69">
        <w:rPr>
          <w:color w:val="545454"/>
          <w:sz w:val="17"/>
          <w:szCs w:val="17"/>
        </w:rPr>
        <w:t>s más</w:t>
      </w:r>
      <w:r w:rsidR="00C86156" w:rsidRPr="00C86156">
        <w:rPr>
          <w:color w:val="545454"/>
          <w:sz w:val="17"/>
          <w:szCs w:val="17"/>
        </w:rPr>
        <w:t xml:space="preserve"> bajo</w:t>
      </w:r>
      <w:r w:rsidR="00F87D69">
        <w:rPr>
          <w:color w:val="545454"/>
          <w:sz w:val="17"/>
          <w:szCs w:val="17"/>
        </w:rPr>
        <w:t>s de base</w:t>
      </w:r>
      <w:r w:rsidR="00C86156" w:rsidRPr="00C86156">
        <w:rPr>
          <w:color w:val="545454"/>
          <w:sz w:val="17"/>
          <w:szCs w:val="17"/>
        </w:rPr>
        <w:t>, podría dar lugar a problemas de suficiencia</w:t>
      </w:r>
      <w:r w:rsidR="00ED47F4">
        <w:rPr>
          <w:color w:val="545454"/>
          <w:sz w:val="17"/>
          <w:szCs w:val="17"/>
        </w:rPr>
        <w:t xml:space="preserve">, </w:t>
      </w:r>
      <w:r w:rsidR="00E326C6">
        <w:rPr>
          <w:color w:val="545454"/>
          <w:sz w:val="17"/>
          <w:szCs w:val="17"/>
        </w:rPr>
        <w:t xml:space="preserve">y por lo tanto un nivel de bienestar </w:t>
      </w:r>
      <w:r w:rsidR="002A686D">
        <w:rPr>
          <w:color w:val="545454"/>
          <w:sz w:val="17"/>
          <w:szCs w:val="17"/>
        </w:rPr>
        <w:t xml:space="preserve">mermado </w:t>
      </w:r>
      <w:r w:rsidR="00465F28">
        <w:rPr>
          <w:color w:val="545454"/>
          <w:sz w:val="17"/>
          <w:szCs w:val="17"/>
        </w:rPr>
        <w:t xml:space="preserve">tanto </w:t>
      </w:r>
      <w:r w:rsidR="002A686D">
        <w:rPr>
          <w:color w:val="545454"/>
          <w:sz w:val="17"/>
          <w:szCs w:val="17"/>
        </w:rPr>
        <w:t xml:space="preserve">durante </w:t>
      </w:r>
      <w:r w:rsidR="00465F28">
        <w:rPr>
          <w:color w:val="545454"/>
          <w:sz w:val="17"/>
          <w:szCs w:val="17"/>
        </w:rPr>
        <w:t>su vida laboral como tras la jubilación</w:t>
      </w:r>
      <w:r w:rsidR="004C748A">
        <w:rPr>
          <w:color w:val="545454"/>
          <w:sz w:val="17"/>
          <w:szCs w:val="17"/>
        </w:rPr>
        <w:t>.</w:t>
      </w:r>
    </w:p>
    <w:p w14:paraId="02B1F71C" w14:textId="593C8FB3" w:rsidR="00BE2667" w:rsidRPr="00A75EFA" w:rsidRDefault="008B024E" w:rsidP="00BE2667">
      <w:pPr>
        <w:pBdr>
          <w:top w:val="single" w:sz="4" w:space="1" w:color="auto"/>
        </w:pBdr>
        <w:spacing w:after="0"/>
        <w:ind w:right="0"/>
        <w:rPr>
          <w:rFonts w:eastAsia="Tahoma" w:cs="Tahoma"/>
          <w:b/>
          <w:bCs/>
          <w:color w:val="121212" w:themeColor="background2"/>
          <w:kern w:val="24"/>
          <w:szCs w:val="18"/>
        </w:rPr>
      </w:pPr>
      <w:r w:rsidRPr="008B024E">
        <w:rPr>
          <w:rFonts w:eastAsia="Tahoma" w:cs="Tahoma"/>
          <w:b/>
          <w:bCs/>
          <w:color w:val="121212" w:themeColor="background2"/>
          <w:kern w:val="24"/>
          <w:szCs w:val="18"/>
        </w:rPr>
        <w:t>Tasa bruta de reemplazo según nivel salarial y años cotizados. Legislación actual y la prevista en 2065</w:t>
      </w:r>
      <w:r>
        <w:rPr>
          <w:rFonts w:eastAsia="Tahoma" w:cs="Tahoma"/>
          <w:b/>
          <w:bCs/>
          <w:color w:val="121212" w:themeColor="background2"/>
          <w:kern w:val="24"/>
          <w:szCs w:val="18"/>
        </w:rPr>
        <w:t xml:space="preserve"> </w:t>
      </w:r>
      <w:r w:rsidR="00BE2667" w:rsidRPr="006D5FD9">
        <w:rPr>
          <w:rFonts w:eastAsia="Tahoma" w:cs="Tahoma"/>
          <w:b/>
          <w:bCs/>
          <w:color w:val="121212" w:themeColor="background2"/>
          <w:kern w:val="24"/>
          <w:szCs w:val="18"/>
        </w:rPr>
        <w:t xml:space="preserve"> </w:t>
      </w:r>
      <w:hyperlink r:id="rId13" w:history="1">
        <w:r w:rsidR="00BE2667" w:rsidRPr="00E93A75">
          <w:rPr>
            <w:rStyle w:val="Hipervnculo"/>
            <w:b/>
            <w:sz w:val="14"/>
            <w:szCs w:val="14"/>
          </w:rPr>
          <w:t>Descargar  &gt;</w:t>
        </w:r>
      </w:hyperlink>
    </w:p>
    <w:p w14:paraId="2B6735DE" w14:textId="3F7ED62F" w:rsidR="00A7709C" w:rsidRPr="00EB2970" w:rsidRDefault="00A7709C" w:rsidP="008B024E">
      <w:pPr>
        <w:widowControl/>
        <w:spacing w:before="120" w:after="0"/>
        <w:ind w:right="0"/>
        <w:rPr>
          <w:color w:val="545454"/>
          <w:sz w:val="17"/>
          <w:szCs w:val="17"/>
        </w:rPr>
      </w:pPr>
      <w:r>
        <w:rPr>
          <w:noProof/>
        </w:rPr>
        <w:drawing>
          <wp:inline distT="0" distB="0" distL="0" distR="0" wp14:anchorId="7FEB9DD1" wp14:editId="25D0BC12">
            <wp:extent cx="3235960" cy="2363190"/>
            <wp:effectExtent l="0" t="0" r="2540" b="0"/>
            <wp:docPr id="586025489" name="Gráfico 1">
              <a:extLst xmlns:a="http://schemas.openxmlformats.org/drawingml/2006/main">
                <a:ext uri="{FF2B5EF4-FFF2-40B4-BE49-F238E27FC236}">
                  <a16:creationId xmlns:a16="http://schemas.microsoft.com/office/drawing/2014/main" id="{D1ACC289-32B1-46F6-57CC-85246D3EF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607F40" w14:textId="77777777" w:rsidR="008B024E" w:rsidRDefault="008B024E" w:rsidP="008B024E">
      <w:pPr>
        <w:pBdr>
          <w:bottom w:val="single" w:sz="4" w:space="1" w:color="auto"/>
        </w:pBdr>
        <w:spacing w:before="60" w:after="0"/>
        <w:rPr>
          <w:rFonts w:asciiTheme="majorHAnsi" w:eastAsia="Times New Roman" w:hAnsiTheme="majorHAnsi" w:cs="Calibri"/>
          <w:sz w:val="14"/>
          <w:szCs w:val="14"/>
        </w:rPr>
      </w:pPr>
      <w:r w:rsidRPr="008B024E">
        <w:rPr>
          <w:rFonts w:asciiTheme="majorHAnsi" w:eastAsia="Times New Roman" w:hAnsiTheme="majorHAnsi" w:cs="Calibri"/>
          <w:sz w:val="14"/>
          <w:szCs w:val="14"/>
        </w:rPr>
        <w:t>Nota: Cálculos en base a salarios medios con perfil cóncavo y jubilación a la edad ordinaria</w:t>
      </w:r>
      <w:r>
        <w:rPr>
          <w:rFonts w:asciiTheme="majorHAnsi" w:eastAsia="Times New Roman" w:hAnsiTheme="majorHAnsi" w:cs="Calibri"/>
          <w:sz w:val="14"/>
          <w:szCs w:val="14"/>
        </w:rPr>
        <w:t>.</w:t>
      </w:r>
    </w:p>
    <w:p w14:paraId="57168D47" w14:textId="3983B917" w:rsidR="00AA5A6F" w:rsidRPr="00BE2667" w:rsidRDefault="00AA5A6F" w:rsidP="008B024E">
      <w:pPr>
        <w:pBdr>
          <w:bottom w:val="single" w:sz="4" w:space="1" w:color="auto"/>
        </w:pBdr>
        <w:spacing w:after="0"/>
        <w:rPr>
          <w:rFonts w:asciiTheme="majorHAnsi" w:eastAsia="Times New Roman" w:hAnsiTheme="majorHAnsi" w:cs="Calibri"/>
          <w:sz w:val="14"/>
          <w:szCs w:val="14"/>
        </w:rPr>
      </w:pPr>
      <w:r w:rsidRPr="00BE2667">
        <w:rPr>
          <w:rFonts w:asciiTheme="majorHAnsi" w:eastAsia="Times New Roman" w:hAnsiTheme="majorHAnsi" w:cs="Calibri"/>
          <w:sz w:val="14"/>
          <w:szCs w:val="14"/>
        </w:rPr>
        <w:t xml:space="preserve">Fuente: </w:t>
      </w:r>
      <w:r>
        <w:rPr>
          <w:rFonts w:asciiTheme="majorHAnsi" w:eastAsia="Times New Roman" w:hAnsiTheme="majorHAnsi" w:cs="Calibri"/>
          <w:sz w:val="14"/>
          <w:szCs w:val="14"/>
        </w:rPr>
        <w:t>N</w:t>
      </w:r>
      <w:r w:rsidRPr="00AA5A6F">
        <w:rPr>
          <w:rFonts w:asciiTheme="majorHAnsi" w:eastAsia="Times New Roman" w:hAnsiTheme="majorHAnsi" w:cs="Calibri"/>
          <w:sz w:val="14"/>
          <w:szCs w:val="14"/>
        </w:rPr>
        <w:t>ormativas de cálculo de la pensión (BOE) y elaboración propia</w:t>
      </w:r>
      <w:r>
        <w:rPr>
          <w:rFonts w:asciiTheme="majorHAnsi" w:eastAsia="Times New Roman" w:hAnsiTheme="majorHAnsi" w:cs="Calibri"/>
          <w:sz w:val="14"/>
          <w:szCs w:val="14"/>
        </w:rPr>
        <w:t>.</w:t>
      </w:r>
      <w:r w:rsidRPr="00BE2667">
        <w:rPr>
          <w:rFonts w:asciiTheme="majorHAnsi" w:eastAsia="Times New Roman" w:hAnsiTheme="majorHAnsi" w:cs="Calibri"/>
          <w:sz w:val="14"/>
          <w:szCs w:val="14"/>
        </w:rPr>
        <w:t xml:space="preserve">  </w:t>
      </w:r>
    </w:p>
    <w:p w14:paraId="5086AAC4" w14:textId="6B4BF95A" w:rsidR="00096D5F" w:rsidRDefault="003B6F5D" w:rsidP="00F63D56">
      <w:pPr>
        <w:widowControl/>
        <w:spacing w:before="120"/>
        <w:ind w:right="0"/>
        <w:jc w:val="both"/>
        <w:rPr>
          <w:color w:val="545454"/>
          <w:sz w:val="17"/>
          <w:szCs w:val="17"/>
        </w:rPr>
      </w:pPr>
      <w:r w:rsidRPr="00557CB7">
        <w:rPr>
          <w:color w:val="545454"/>
          <w:sz w:val="17"/>
          <w:szCs w:val="17"/>
        </w:rPr>
        <w:lastRenderedPageBreak/>
        <w:t>Por tanto, los jóvenes que</w:t>
      </w:r>
      <w:r w:rsidR="00E55658" w:rsidRPr="00557CB7">
        <w:rPr>
          <w:color w:val="545454"/>
          <w:sz w:val="17"/>
          <w:szCs w:val="17"/>
        </w:rPr>
        <w:t xml:space="preserve"> se incorporen tarde a su primer empleo</w:t>
      </w:r>
      <w:r w:rsidRPr="00557CB7">
        <w:rPr>
          <w:color w:val="545454"/>
          <w:sz w:val="17"/>
          <w:szCs w:val="17"/>
        </w:rPr>
        <w:t xml:space="preserve"> tendrán que prolongar su </w:t>
      </w:r>
      <w:r w:rsidR="00E55658" w:rsidRPr="00557CB7">
        <w:rPr>
          <w:color w:val="545454"/>
          <w:sz w:val="17"/>
          <w:szCs w:val="17"/>
        </w:rPr>
        <w:t>vida laboral</w:t>
      </w:r>
      <w:r w:rsidRPr="00557CB7">
        <w:rPr>
          <w:color w:val="545454"/>
          <w:sz w:val="17"/>
          <w:szCs w:val="17"/>
        </w:rPr>
        <w:t xml:space="preserve"> </w:t>
      </w:r>
      <w:r w:rsidR="00E55658" w:rsidRPr="00557CB7">
        <w:rPr>
          <w:color w:val="545454"/>
          <w:sz w:val="17"/>
          <w:szCs w:val="17"/>
        </w:rPr>
        <w:t xml:space="preserve">más allá de la edad de jubilación establecida </w:t>
      </w:r>
      <w:r w:rsidRPr="00557CB7">
        <w:rPr>
          <w:color w:val="545454"/>
          <w:sz w:val="17"/>
          <w:szCs w:val="17"/>
        </w:rPr>
        <w:t>para conseguir una pensión que le</w:t>
      </w:r>
      <w:r w:rsidR="007F5AD2" w:rsidRPr="00557CB7">
        <w:rPr>
          <w:color w:val="545454"/>
          <w:sz w:val="17"/>
          <w:szCs w:val="17"/>
        </w:rPr>
        <w:t>s</w:t>
      </w:r>
      <w:r w:rsidRPr="00557CB7">
        <w:rPr>
          <w:color w:val="545454"/>
          <w:sz w:val="17"/>
          <w:szCs w:val="17"/>
        </w:rPr>
        <w:t xml:space="preserve"> permita mantener su nivel de vida</w:t>
      </w:r>
      <w:r w:rsidR="008741E1" w:rsidRPr="00557CB7">
        <w:rPr>
          <w:color w:val="545454"/>
          <w:sz w:val="17"/>
          <w:szCs w:val="17"/>
        </w:rPr>
        <w:t xml:space="preserve"> previo</w:t>
      </w:r>
      <w:r w:rsidRPr="00557CB7">
        <w:rPr>
          <w:color w:val="545454"/>
          <w:sz w:val="17"/>
          <w:szCs w:val="17"/>
        </w:rPr>
        <w:t>, salvo que dispongan de un ahorro acumulado suficiente (pensión privada,</w:t>
      </w:r>
      <w:r w:rsidRPr="00C86156">
        <w:rPr>
          <w:color w:val="545454"/>
          <w:sz w:val="17"/>
          <w:szCs w:val="17"/>
        </w:rPr>
        <w:t xml:space="preserve"> herencias, </w:t>
      </w:r>
      <w:r w:rsidR="002549EA">
        <w:rPr>
          <w:color w:val="545454"/>
          <w:sz w:val="17"/>
          <w:szCs w:val="17"/>
        </w:rPr>
        <w:t>etc.</w:t>
      </w:r>
      <w:r w:rsidRPr="00C86156">
        <w:rPr>
          <w:color w:val="545454"/>
          <w:sz w:val="17"/>
          <w:szCs w:val="17"/>
        </w:rPr>
        <w:t xml:space="preserve">). </w:t>
      </w:r>
      <w:r>
        <w:rPr>
          <w:color w:val="545454"/>
          <w:sz w:val="17"/>
          <w:szCs w:val="17"/>
        </w:rPr>
        <w:t>C</w:t>
      </w:r>
      <w:r w:rsidRPr="00C86156">
        <w:rPr>
          <w:color w:val="545454"/>
          <w:sz w:val="17"/>
          <w:szCs w:val="17"/>
        </w:rPr>
        <w:t>on la legislación prevista actualmente</w:t>
      </w:r>
      <w:r w:rsidR="008741E1">
        <w:rPr>
          <w:color w:val="545454"/>
          <w:sz w:val="17"/>
          <w:szCs w:val="17"/>
        </w:rPr>
        <w:t>,</w:t>
      </w:r>
      <w:r w:rsidRPr="00C86156">
        <w:rPr>
          <w:color w:val="545454"/>
          <w:sz w:val="17"/>
          <w:szCs w:val="17"/>
        </w:rPr>
        <w:t xml:space="preserve"> </w:t>
      </w:r>
      <w:r w:rsidR="008741E1">
        <w:rPr>
          <w:color w:val="545454"/>
          <w:sz w:val="17"/>
          <w:szCs w:val="17"/>
        </w:rPr>
        <w:t>proyectada a</w:t>
      </w:r>
      <w:r w:rsidRPr="00C86156">
        <w:rPr>
          <w:color w:val="545454"/>
          <w:sz w:val="17"/>
          <w:szCs w:val="17"/>
        </w:rPr>
        <w:t xml:space="preserve"> 2065, se obtendrá una tasa bruta de reemplazo del 90% (que equivale aproximadamente a una tasa neta del 100%</w:t>
      </w:r>
      <w:r w:rsidR="00CF6BB9">
        <w:rPr>
          <w:color w:val="545454"/>
          <w:sz w:val="17"/>
          <w:szCs w:val="17"/>
        </w:rPr>
        <w:t>, lo que significa mantener el nivel de vida previo</w:t>
      </w:r>
      <w:r w:rsidRPr="00C86156">
        <w:rPr>
          <w:color w:val="545454"/>
          <w:sz w:val="17"/>
          <w:szCs w:val="17"/>
        </w:rPr>
        <w:t>) con 40 o más años cotizados y con una edad de jubilación de 65 años</w:t>
      </w:r>
      <w:r w:rsidR="00CF6BB9">
        <w:rPr>
          <w:color w:val="545454"/>
          <w:sz w:val="17"/>
          <w:szCs w:val="17"/>
        </w:rPr>
        <w:t>. P</w:t>
      </w:r>
      <w:r w:rsidRPr="00C86156">
        <w:rPr>
          <w:color w:val="545454"/>
          <w:sz w:val="17"/>
          <w:szCs w:val="17"/>
        </w:rPr>
        <w:t xml:space="preserve">ara conseguir </w:t>
      </w:r>
      <w:r w:rsidR="00750E62">
        <w:rPr>
          <w:color w:val="545454"/>
          <w:sz w:val="17"/>
          <w:szCs w:val="17"/>
        </w:rPr>
        <w:t>la misma tasa de reemplazo</w:t>
      </w:r>
      <w:r w:rsidRPr="00C86156">
        <w:rPr>
          <w:color w:val="545454"/>
          <w:sz w:val="17"/>
          <w:szCs w:val="17"/>
        </w:rPr>
        <w:t xml:space="preserve"> </w:t>
      </w:r>
      <w:r w:rsidR="00CF6BB9">
        <w:rPr>
          <w:color w:val="545454"/>
          <w:sz w:val="17"/>
          <w:szCs w:val="17"/>
        </w:rPr>
        <w:t>con una carrera laboral de 3</w:t>
      </w:r>
      <w:r>
        <w:rPr>
          <w:color w:val="545454"/>
          <w:sz w:val="17"/>
          <w:szCs w:val="17"/>
        </w:rPr>
        <w:t>5 años</w:t>
      </w:r>
      <w:r w:rsidR="00CF6BB9">
        <w:rPr>
          <w:color w:val="545454"/>
          <w:sz w:val="17"/>
          <w:szCs w:val="17"/>
        </w:rPr>
        <w:t xml:space="preserve"> se deberá demorar la jubilación hasta los 68 años</w:t>
      </w:r>
      <w:r>
        <w:rPr>
          <w:color w:val="545454"/>
          <w:sz w:val="17"/>
          <w:szCs w:val="17"/>
        </w:rPr>
        <w:t xml:space="preserve">, </w:t>
      </w:r>
      <w:r w:rsidR="00CF6BB9">
        <w:rPr>
          <w:color w:val="545454"/>
          <w:sz w:val="17"/>
          <w:szCs w:val="17"/>
        </w:rPr>
        <w:t xml:space="preserve">y hasta los </w:t>
      </w:r>
      <w:r w:rsidRPr="00C86156">
        <w:rPr>
          <w:color w:val="545454"/>
          <w:sz w:val="17"/>
          <w:szCs w:val="17"/>
        </w:rPr>
        <w:t>71 años con sólo 30 años cotizados.</w:t>
      </w:r>
      <w:r w:rsidR="0049091B">
        <w:rPr>
          <w:color w:val="545454"/>
          <w:sz w:val="17"/>
          <w:szCs w:val="17"/>
        </w:rPr>
        <w:t xml:space="preserve"> De esa manera, las menores cotizaciones se compensan con menos años recibiendo la pensión.</w:t>
      </w:r>
      <w:r w:rsidR="003D2305">
        <w:rPr>
          <w:color w:val="545454"/>
          <w:sz w:val="17"/>
          <w:szCs w:val="17"/>
        </w:rPr>
        <w:t xml:space="preserve"> </w:t>
      </w:r>
    </w:p>
    <w:p w14:paraId="0EFB77B0" w14:textId="2E7B27B6" w:rsidR="003B6F5D" w:rsidRDefault="008600C1" w:rsidP="00F63D56">
      <w:pPr>
        <w:widowControl/>
        <w:spacing w:before="120"/>
        <w:ind w:right="0"/>
        <w:jc w:val="both"/>
        <w:rPr>
          <w:color w:val="545454"/>
          <w:sz w:val="17"/>
          <w:szCs w:val="17"/>
        </w:rPr>
      </w:pPr>
      <w:r>
        <w:rPr>
          <w:color w:val="545454"/>
          <w:sz w:val="17"/>
          <w:szCs w:val="17"/>
        </w:rPr>
        <w:t xml:space="preserve">Estas </w:t>
      </w:r>
      <w:r w:rsidRPr="003D2305">
        <w:rPr>
          <w:color w:val="545454"/>
          <w:sz w:val="17"/>
          <w:szCs w:val="17"/>
        </w:rPr>
        <w:t>reformas recientes en el sistema de pensiones anticipan un ligero ajuste en la tasa de reemplazo futura de los jóvenes actuales, de entre uno y dos puntos, respecto a la que se obtendría de mantenerse la legislación aplicada en 2025.</w:t>
      </w:r>
      <w:r>
        <w:rPr>
          <w:color w:val="545454"/>
          <w:sz w:val="17"/>
          <w:szCs w:val="17"/>
        </w:rPr>
        <w:t xml:space="preserve"> En el caso de los jóvenes que solo hayan podido cotizar 30 años, se pasaría de una tasa de reemplazo del 77,1% actual a un 75,3%</w:t>
      </w:r>
      <w:r w:rsidR="00B01F3D">
        <w:rPr>
          <w:color w:val="545454"/>
          <w:sz w:val="17"/>
          <w:szCs w:val="17"/>
        </w:rPr>
        <w:t>, para</w:t>
      </w:r>
      <w:r>
        <w:rPr>
          <w:color w:val="545454"/>
          <w:sz w:val="17"/>
          <w:szCs w:val="17"/>
        </w:rPr>
        <w:t xml:space="preserve"> los que se jubilen en 2065.</w:t>
      </w:r>
    </w:p>
    <w:p w14:paraId="3EC7D282" w14:textId="607E31E8" w:rsidR="00EB2970" w:rsidRDefault="00C609CB" w:rsidP="00F63D56">
      <w:pPr>
        <w:widowControl/>
        <w:spacing w:before="120"/>
        <w:ind w:right="0"/>
        <w:jc w:val="both"/>
        <w:rPr>
          <w:color w:val="545454"/>
          <w:sz w:val="17"/>
          <w:szCs w:val="17"/>
        </w:rPr>
      </w:pPr>
      <w:r>
        <w:rPr>
          <w:color w:val="545454"/>
          <w:sz w:val="17"/>
          <w:szCs w:val="17"/>
        </w:rPr>
        <w:t>Sin embargo</w:t>
      </w:r>
      <w:r w:rsidR="00EB2970" w:rsidRPr="00EB2970">
        <w:rPr>
          <w:color w:val="545454"/>
          <w:sz w:val="17"/>
          <w:szCs w:val="17"/>
        </w:rPr>
        <w:t>, la actual normativa contempla la posibilidad de aprobar reformas adicionales con el objetivo de eliminar un posible exceso de gasto en pensiones</w:t>
      </w:r>
      <w:r>
        <w:rPr>
          <w:color w:val="545454"/>
          <w:sz w:val="17"/>
          <w:szCs w:val="17"/>
        </w:rPr>
        <w:t>.</w:t>
      </w:r>
      <w:r w:rsidR="00E71E0D">
        <w:rPr>
          <w:color w:val="545454"/>
          <w:sz w:val="17"/>
          <w:szCs w:val="17"/>
        </w:rPr>
        <w:t xml:space="preserve"> </w:t>
      </w:r>
      <w:r>
        <w:rPr>
          <w:color w:val="545454"/>
          <w:sz w:val="17"/>
          <w:szCs w:val="17"/>
        </w:rPr>
        <w:t xml:space="preserve">Si se introdujeran tres reformas que ya </w:t>
      </w:r>
      <w:r w:rsidR="00096D5F">
        <w:rPr>
          <w:color w:val="545454"/>
          <w:sz w:val="17"/>
          <w:szCs w:val="17"/>
        </w:rPr>
        <w:t>están presentes</w:t>
      </w:r>
      <w:r>
        <w:rPr>
          <w:color w:val="545454"/>
          <w:sz w:val="17"/>
          <w:szCs w:val="17"/>
        </w:rPr>
        <w:t xml:space="preserve"> en el debate público</w:t>
      </w:r>
      <w:r w:rsidR="00096D5F">
        <w:rPr>
          <w:color w:val="545454"/>
          <w:sz w:val="17"/>
          <w:szCs w:val="17"/>
        </w:rPr>
        <w:t>,</w:t>
      </w:r>
      <w:r w:rsidRPr="00C609CB">
        <w:rPr>
          <w:color w:val="545454"/>
          <w:sz w:val="17"/>
          <w:szCs w:val="17"/>
        </w:rPr>
        <w:t xml:space="preserve"> </w:t>
      </w:r>
      <w:r>
        <w:rPr>
          <w:color w:val="545454"/>
          <w:sz w:val="17"/>
          <w:szCs w:val="17"/>
        </w:rPr>
        <w:t xml:space="preserve">los cambios en las pensiones de 2065 </w:t>
      </w:r>
      <w:r w:rsidRPr="00C609CB">
        <w:rPr>
          <w:color w:val="545454"/>
          <w:sz w:val="17"/>
          <w:szCs w:val="17"/>
        </w:rPr>
        <w:t xml:space="preserve">sí que afectarían </w:t>
      </w:r>
      <w:r w:rsidR="00F87D69">
        <w:rPr>
          <w:color w:val="545454"/>
          <w:sz w:val="17"/>
          <w:szCs w:val="17"/>
        </w:rPr>
        <w:t xml:space="preserve">de forma más pronunciada </w:t>
      </w:r>
      <w:r w:rsidRPr="00C609CB">
        <w:rPr>
          <w:color w:val="545454"/>
          <w:sz w:val="17"/>
          <w:szCs w:val="17"/>
        </w:rPr>
        <w:t xml:space="preserve">a la tasa </w:t>
      </w:r>
      <w:r w:rsidR="00096D5F">
        <w:rPr>
          <w:color w:val="545454"/>
          <w:sz w:val="17"/>
          <w:szCs w:val="17"/>
        </w:rPr>
        <w:t xml:space="preserve">de </w:t>
      </w:r>
      <w:r w:rsidRPr="00C609CB">
        <w:rPr>
          <w:color w:val="545454"/>
          <w:sz w:val="17"/>
          <w:szCs w:val="17"/>
        </w:rPr>
        <w:t>reemplazo.</w:t>
      </w:r>
      <w:r>
        <w:rPr>
          <w:color w:val="545454"/>
          <w:sz w:val="17"/>
          <w:szCs w:val="17"/>
        </w:rPr>
        <w:t xml:space="preserve"> </w:t>
      </w:r>
      <w:r w:rsidR="00096D5F">
        <w:rPr>
          <w:color w:val="545454"/>
          <w:sz w:val="17"/>
          <w:szCs w:val="17"/>
        </w:rPr>
        <w:t>Est</w:t>
      </w:r>
      <w:r>
        <w:rPr>
          <w:color w:val="545454"/>
          <w:sz w:val="17"/>
          <w:szCs w:val="17"/>
        </w:rPr>
        <w:t xml:space="preserve">as tres medidas analizadas en la estimación son: </w:t>
      </w:r>
      <w:r w:rsidR="00F87D69">
        <w:rPr>
          <w:color w:val="545454"/>
          <w:sz w:val="17"/>
          <w:szCs w:val="17"/>
        </w:rPr>
        <w:t>elevar</w:t>
      </w:r>
      <w:r w:rsidR="00E71E0D">
        <w:rPr>
          <w:color w:val="545454"/>
          <w:sz w:val="17"/>
          <w:szCs w:val="17"/>
        </w:rPr>
        <w:t xml:space="preserve"> </w:t>
      </w:r>
      <w:r w:rsidR="00F87D69">
        <w:rPr>
          <w:color w:val="545454"/>
          <w:sz w:val="17"/>
          <w:szCs w:val="17"/>
        </w:rPr>
        <w:t>el</w:t>
      </w:r>
      <w:r w:rsidR="00EB2970" w:rsidRPr="00EB2970">
        <w:rPr>
          <w:color w:val="545454"/>
          <w:sz w:val="17"/>
          <w:szCs w:val="17"/>
        </w:rPr>
        <w:t xml:space="preserve"> periodo de cómputo de la base reguladora hasta los últimos 35 años, perjudicando a los que entran tarde en el mercado laboral o que lo hacen con salarios bajos al principio</w:t>
      </w:r>
      <w:r w:rsidR="00096D5F">
        <w:rPr>
          <w:color w:val="545454"/>
          <w:sz w:val="17"/>
          <w:szCs w:val="17"/>
        </w:rPr>
        <w:t xml:space="preserve"> de su carrera laboral</w:t>
      </w:r>
      <w:r>
        <w:rPr>
          <w:color w:val="545454"/>
          <w:sz w:val="17"/>
          <w:szCs w:val="17"/>
        </w:rPr>
        <w:t>; aumentar</w:t>
      </w:r>
      <w:r w:rsidR="00EB2970" w:rsidRPr="00EB2970">
        <w:rPr>
          <w:color w:val="545454"/>
          <w:sz w:val="17"/>
          <w:szCs w:val="17"/>
        </w:rPr>
        <w:t xml:space="preserve"> hasta 40 años cotizados para alcanzar el 100% de la </w:t>
      </w:r>
      <w:r w:rsidR="002549EA">
        <w:rPr>
          <w:color w:val="545454"/>
          <w:sz w:val="17"/>
          <w:szCs w:val="17"/>
        </w:rPr>
        <w:t>b</w:t>
      </w:r>
      <w:r w:rsidR="00EB2970" w:rsidRPr="00EB2970">
        <w:rPr>
          <w:color w:val="545454"/>
          <w:sz w:val="17"/>
          <w:szCs w:val="17"/>
        </w:rPr>
        <w:t xml:space="preserve">ase </w:t>
      </w:r>
      <w:r w:rsidR="002549EA">
        <w:rPr>
          <w:color w:val="545454"/>
          <w:sz w:val="17"/>
          <w:szCs w:val="17"/>
        </w:rPr>
        <w:t>r</w:t>
      </w:r>
      <w:r w:rsidR="00EB2970" w:rsidRPr="00EB2970">
        <w:rPr>
          <w:color w:val="545454"/>
          <w:sz w:val="17"/>
          <w:szCs w:val="17"/>
        </w:rPr>
        <w:t>eguladora, en lugar de los 37 que habrá en 2027</w:t>
      </w:r>
      <w:r w:rsidR="00096D5F">
        <w:rPr>
          <w:color w:val="545454"/>
          <w:sz w:val="17"/>
          <w:szCs w:val="17"/>
        </w:rPr>
        <w:t>;</w:t>
      </w:r>
      <w:r>
        <w:rPr>
          <w:color w:val="545454"/>
          <w:sz w:val="17"/>
          <w:szCs w:val="17"/>
        </w:rPr>
        <w:t xml:space="preserve"> y</w:t>
      </w:r>
      <w:r w:rsidR="00096D5F">
        <w:rPr>
          <w:color w:val="545454"/>
          <w:sz w:val="17"/>
          <w:szCs w:val="17"/>
        </w:rPr>
        <w:t>, por último,</w:t>
      </w:r>
      <w:r>
        <w:rPr>
          <w:color w:val="545454"/>
          <w:sz w:val="17"/>
          <w:szCs w:val="17"/>
        </w:rPr>
        <w:t xml:space="preserve"> v</w:t>
      </w:r>
      <w:r w:rsidR="00EB2970" w:rsidRPr="00EB2970">
        <w:rPr>
          <w:color w:val="545454"/>
          <w:sz w:val="17"/>
          <w:szCs w:val="17"/>
        </w:rPr>
        <w:t>incular la</w:t>
      </w:r>
      <w:r w:rsidR="00096D5F">
        <w:rPr>
          <w:color w:val="545454"/>
          <w:sz w:val="17"/>
          <w:szCs w:val="17"/>
        </w:rPr>
        <w:t xml:space="preserve"> cuantía de la</w:t>
      </w:r>
      <w:r w:rsidR="00EB2970" w:rsidRPr="00EB2970">
        <w:rPr>
          <w:color w:val="545454"/>
          <w:sz w:val="17"/>
          <w:szCs w:val="17"/>
        </w:rPr>
        <w:t xml:space="preserve"> pensión inicial a la esperanza de vida, mediante un </w:t>
      </w:r>
      <w:r w:rsidR="002549EA">
        <w:rPr>
          <w:color w:val="545454"/>
          <w:sz w:val="17"/>
          <w:szCs w:val="17"/>
        </w:rPr>
        <w:t>f</w:t>
      </w:r>
      <w:r w:rsidR="00EB2970" w:rsidRPr="00EB2970">
        <w:rPr>
          <w:color w:val="545454"/>
          <w:sz w:val="17"/>
          <w:szCs w:val="17"/>
        </w:rPr>
        <w:t xml:space="preserve">actor de </w:t>
      </w:r>
      <w:r w:rsidR="002549EA">
        <w:rPr>
          <w:color w:val="545454"/>
          <w:sz w:val="17"/>
          <w:szCs w:val="17"/>
        </w:rPr>
        <w:t>s</w:t>
      </w:r>
      <w:r w:rsidR="00EB2970" w:rsidRPr="00EB2970">
        <w:rPr>
          <w:color w:val="545454"/>
          <w:sz w:val="17"/>
          <w:szCs w:val="17"/>
        </w:rPr>
        <w:t>ostenibilidad (FS) que se empezara a aplicar a partir de 2044.</w:t>
      </w:r>
    </w:p>
    <w:p w14:paraId="09CE4290" w14:textId="1F9D5FC1" w:rsidR="007F5AD2" w:rsidRPr="00660877" w:rsidRDefault="009B2EB9" w:rsidP="007F5AD2">
      <w:pPr>
        <w:pBdr>
          <w:top w:val="single" w:sz="4" w:space="1" w:color="auto"/>
        </w:pBdr>
        <w:spacing w:after="0"/>
        <w:ind w:right="-149"/>
        <w:rPr>
          <w:rFonts w:eastAsia="Tahoma" w:cs="Tahoma"/>
          <w:b/>
          <w:bCs/>
          <w:color w:val="121212" w:themeColor="background2"/>
          <w:kern w:val="24"/>
          <w:sz w:val="16"/>
          <w:szCs w:val="16"/>
        </w:rPr>
      </w:pPr>
      <w:r w:rsidRPr="009B2EB9">
        <w:rPr>
          <w:rFonts w:eastAsia="Tahoma" w:cs="Tahoma"/>
          <w:b/>
          <w:bCs/>
          <w:color w:val="121212" w:themeColor="background2"/>
          <w:kern w:val="24"/>
          <w:sz w:val="16"/>
          <w:szCs w:val="16"/>
        </w:rPr>
        <w:t>Tasa bruta de reemplazo según años cotizados para la normativa actual (líneas continuas) y para distintas reformas hipotéticas (líneas discontinuas)</w:t>
      </w:r>
      <w:r>
        <w:rPr>
          <w:rFonts w:eastAsia="Tahoma" w:cs="Tahoma"/>
          <w:b/>
          <w:bCs/>
          <w:color w:val="121212" w:themeColor="background2"/>
          <w:kern w:val="24"/>
          <w:sz w:val="16"/>
          <w:szCs w:val="16"/>
        </w:rPr>
        <w:t xml:space="preserve"> </w:t>
      </w:r>
      <w:hyperlink r:id="rId15" w:history="1">
        <w:r w:rsidR="007F5AD2" w:rsidRPr="00C23534">
          <w:rPr>
            <w:rStyle w:val="Hipervnculo"/>
            <w:rFonts w:eastAsia="Tahoma" w:cs="Tahoma"/>
            <w:b/>
            <w:bCs/>
            <w:kern w:val="24"/>
            <w:sz w:val="16"/>
            <w:szCs w:val="16"/>
          </w:rPr>
          <w:t xml:space="preserve"> </w:t>
        </w:r>
        <w:r w:rsidR="007F5AD2" w:rsidRPr="00C23534">
          <w:rPr>
            <w:rStyle w:val="Hipervnculo"/>
            <w:b/>
            <w:sz w:val="16"/>
            <w:szCs w:val="16"/>
          </w:rPr>
          <w:t>Descargar  &gt;</w:t>
        </w:r>
      </w:hyperlink>
    </w:p>
    <w:p w14:paraId="48DC55B8" w14:textId="77777777" w:rsidR="007F5AD2" w:rsidRPr="00204BFC" w:rsidRDefault="007F5AD2" w:rsidP="007F5AD2">
      <w:pPr>
        <w:widowControl/>
        <w:spacing w:before="120"/>
        <w:ind w:right="0"/>
        <w:rPr>
          <w:color w:val="545454"/>
          <w:sz w:val="16"/>
          <w:szCs w:val="16"/>
        </w:rPr>
      </w:pPr>
      <w:r w:rsidRPr="00660877">
        <w:rPr>
          <w:noProof/>
          <w:sz w:val="16"/>
          <w:szCs w:val="16"/>
        </w:rPr>
        <w:drawing>
          <wp:inline distT="0" distB="0" distL="0" distR="0" wp14:anchorId="44365D64" wp14:editId="0C570CB5">
            <wp:extent cx="3235960" cy="2200275"/>
            <wp:effectExtent l="0" t="0" r="2540" b="0"/>
            <wp:docPr id="1726664770" name="Gráfico 1">
              <a:extLst xmlns:a="http://schemas.openxmlformats.org/drawingml/2006/main">
                <a:ext uri="{FF2B5EF4-FFF2-40B4-BE49-F238E27FC236}">
                  <a16:creationId xmlns:a16="http://schemas.microsoft.com/office/drawing/2014/main" id="{2CE8DD0E-875F-6FDC-F8E5-81469F796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CD93ED" w14:textId="6DB0D053" w:rsidR="009B2EB9" w:rsidRDefault="009B2EB9" w:rsidP="007F5AD2">
      <w:pPr>
        <w:pBdr>
          <w:bottom w:val="single" w:sz="4" w:space="1" w:color="auto"/>
        </w:pBdr>
        <w:spacing w:before="60" w:after="0"/>
        <w:rPr>
          <w:rFonts w:asciiTheme="majorHAnsi" w:eastAsia="Times New Roman" w:hAnsiTheme="majorHAnsi" w:cs="Calibri"/>
          <w:sz w:val="14"/>
          <w:szCs w:val="14"/>
        </w:rPr>
      </w:pPr>
      <w:r w:rsidRPr="009B2EB9">
        <w:rPr>
          <w:rFonts w:asciiTheme="majorHAnsi" w:eastAsia="Times New Roman" w:hAnsiTheme="majorHAnsi" w:cs="Calibri"/>
          <w:sz w:val="14"/>
          <w:szCs w:val="14"/>
        </w:rPr>
        <w:t>Nota: Cálculos en base a salarios medios con perfil cóncavo y jubilación a la edad ordinaria</w:t>
      </w:r>
      <w:r>
        <w:rPr>
          <w:rFonts w:asciiTheme="majorHAnsi" w:eastAsia="Times New Roman" w:hAnsiTheme="majorHAnsi" w:cs="Calibri"/>
          <w:sz w:val="14"/>
          <w:szCs w:val="14"/>
        </w:rPr>
        <w:t>.</w:t>
      </w:r>
    </w:p>
    <w:p w14:paraId="47D151A7" w14:textId="2F2FB8B4" w:rsidR="007F5AD2" w:rsidRPr="00204BFC" w:rsidRDefault="007F5AD2" w:rsidP="007F5AD2">
      <w:pPr>
        <w:pBdr>
          <w:bottom w:val="single" w:sz="4" w:space="1" w:color="auto"/>
        </w:pBdr>
        <w:spacing w:before="60" w:after="0"/>
        <w:rPr>
          <w:rFonts w:asciiTheme="majorHAnsi" w:eastAsia="Times New Roman" w:hAnsiTheme="majorHAnsi" w:cs="Calibri"/>
          <w:sz w:val="16"/>
          <w:szCs w:val="16"/>
        </w:rPr>
      </w:pPr>
      <w:r w:rsidRPr="007F5AD2">
        <w:rPr>
          <w:rFonts w:asciiTheme="majorHAnsi" w:eastAsia="Times New Roman" w:hAnsiTheme="majorHAnsi" w:cs="Calibri"/>
          <w:sz w:val="14"/>
          <w:szCs w:val="14"/>
        </w:rPr>
        <w:t>Fuente: Normativas de cálculo de la pensión (BOE), INE y elaboración propia.</w:t>
      </w:r>
      <w:r w:rsidRPr="00204BFC">
        <w:rPr>
          <w:rFonts w:asciiTheme="majorHAnsi" w:eastAsia="Times New Roman" w:hAnsiTheme="majorHAnsi" w:cs="Calibri"/>
          <w:sz w:val="16"/>
          <w:szCs w:val="16"/>
        </w:rPr>
        <w:t xml:space="preserve">  </w:t>
      </w:r>
    </w:p>
    <w:p w14:paraId="0582E459" w14:textId="07C22A97" w:rsidR="000C4574" w:rsidRPr="00660877" w:rsidRDefault="00F87D69" w:rsidP="00F63D56">
      <w:pPr>
        <w:widowControl/>
        <w:spacing w:before="120"/>
        <w:ind w:right="0"/>
        <w:jc w:val="both"/>
        <w:rPr>
          <w:color w:val="545454"/>
          <w:sz w:val="16"/>
          <w:szCs w:val="16"/>
        </w:rPr>
      </w:pPr>
      <w:r>
        <w:rPr>
          <w:color w:val="545454"/>
          <w:sz w:val="17"/>
          <w:szCs w:val="17"/>
        </w:rPr>
        <w:t>La aplicación de estas</w:t>
      </w:r>
      <w:r w:rsidRPr="00F87D69">
        <w:rPr>
          <w:color w:val="545454"/>
          <w:sz w:val="17"/>
          <w:szCs w:val="17"/>
        </w:rPr>
        <w:t xml:space="preserve"> tres posibles reformas </w:t>
      </w:r>
      <w:r w:rsidR="005F2814">
        <w:rPr>
          <w:color w:val="545454"/>
          <w:sz w:val="17"/>
          <w:szCs w:val="17"/>
        </w:rPr>
        <w:t>provocará</w:t>
      </w:r>
      <w:r w:rsidR="003D2305">
        <w:rPr>
          <w:color w:val="545454"/>
          <w:sz w:val="17"/>
          <w:szCs w:val="17"/>
        </w:rPr>
        <w:t xml:space="preserve"> </w:t>
      </w:r>
      <w:r w:rsidR="005F2814">
        <w:rPr>
          <w:color w:val="545454"/>
          <w:sz w:val="17"/>
          <w:szCs w:val="17"/>
        </w:rPr>
        <w:t>una</w:t>
      </w:r>
      <w:r>
        <w:rPr>
          <w:color w:val="545454"/>
          <w:sz w:val="17"/>
          <w:szCs w:val="17"/>
        </w:rPr>
        <w:t xml:space="preserve"> reducción de</w:t>
      </w:r>
      <w:r w:rsidRPr="00F87D69">
        <w:rPr>
          <w:color w:val="545454"/>
          <w:sz w:val="17"/>
          <w:szCs w:val="17"/>
        </w:rPr>
        <w:t xml:space="preserve"> la tasa de reemplazo </w:t>
      </w:r>
      <w:r w:rsidR="005F2814">
        <w:rPr>
          <w:color w:val="545454"/>
          <w:sz w:val="17"/>
          <w:szCs w:val="17"/>
        </w:rPr>
        <w:t xml:space="preserve">que </w:t>
      </w:r>
      <w:r w:rsidRPr="00F87D69">
        <w:rPr>
          <w:color w:val="545454"/>
          <w:sz w:val="17"/>
          <w:szCs w:val="17"/>
        </w:rPr>
        <w:t>se situaría entre los 10 y los 20 puntos</w:t>
      </w:r>
      <w:r w:rsidR="005F2814">
        <w:rPr>
          <w:color w:val="545454"/>
          <w:sz w:val="17"/>
          <w:szCs w:val="17"/>
        </w:rPr>
        <w:t xml:space="preserve"> porcentuales </w:t>
      </w:r>
      <w:r w:rsidR="000262CC">
        <w:rPr>
          <w:color w:val="545454"/>
          <w:sz w:val="17"/>
          <w:szCs w:val="17"/>
        </w:rPr>
        <w:t>sobre</w:t>
      </w:r>
      <w:r w:rsidR="005F2814">
        <w:rPr>
          <w:color w:val="545454"/>
          <w:sz w:val="17"/>
          <w:szCs w:val="17"/>
        </w:rPr>
        <w:t xml:space="preserve"> la actual</w:t>
      </w:r>
      <w:r>
        <w:rPr>
          <w:color w:val="545454"/>
          <w:sz w:val="17"/>
          <w:szCs w:val="17"/>
        </w:rPr>
        <w:t>, en función de los años cotizados</w:t>
      </w:r>
      <w:r w:rsidRPr="00F87D69">
        <w:rPr>
          <w:color w:val="545454"/>
          <w:sz w:val="17"/>
          <w:szCs w:val="17"/>
        </w:rPr>
        <w:t>.</w:t>
      </w:r>
      <w:r>
        <w:rPr>
          <w:color w:val="545454"/>
          <w:sz w:val="17"/>
          <w:szCs w:val="17"/>
        </w:rPr>
        <w:t xml:space="preserve"> Por ejemplo, los jóvenes que solo hubieran podido sumar 30 años cotizados tendrían derecho a una pensión que </w:t>
      </w:r>
      <w:r w:rsidR="005F2814">
        <w:rPr>
          <w:color w:val="545454"/>
          <w:sz w:val="17"/>
          <w:szCs w:val="17"/>
        </w:rPr>
        <w:t xml:space="preserve">sería de algo más de la mitad de su último salario, es decir, una tasa de reemplazo del 57,6%, frente al 77,1% de las personas que se están </w:t>
      </w:r>
      <w:r w:rsidR="005F2814" w:rsidRPr="00660877">
        <w:rPr>
          <w:color w:val="545454"/>
          <w:sz w:val="16"/>
          <w:szCs w:val="16"/>
        </w:rPr>
        <w:t xml:space="preserve">jubilando actualmente con </w:t>
      </w:r>
      <w:r w:rsidR="005F2814" w:rsidRPr="00660877">
        <w:rPr>
          <w:color w:val="545454"/>
          <w:sz w:val="16"/>
          <w:szCs w:val="16"/>
        </w:rPr>
        <w:t>ese mismo número de años cotizados. En el caso de los que sumaran 35 años cotizados</w:t>
      </w:r>
      <w:r w:rsidR="006F4D6D" w:rsidRPr="00660877">
        <w:rPr>
          <w:color w:val="545454"/>
          <w:sz w:val="16"/>
          <w:szCs w:val="16"/>
        </w:rPr>
        <w:t>,</w:t>
      </w:r>
      <w:r w:rsidR="005F2814" w:rsidRPr="00660877">
        <w:rPr>
          <w:color w:val="545454"/>
          <w:sz w:val="16"/>
          <w:szCs w:val="16"/>
        </w:rPr>
        <w:t xml:space="preserve"> la tasa de reemplazo sería del </w:t>
      </w:r>
      <w:r w:rsidR="002C5E96" w:rsidRPr="00660877">
        <w:rPr>
          <w:color w:val="545454"/>
          <w:sz w:val="16"/>
          <w:szCs w:val="16"/>
        </w:rPr>
        <w:t>7</w:t>
      </w:r>
      <w:r w:rsidR="00AB7064" w:rsidRPr="00660877">
        <w:rPr>
          <w:color w:val="545454"/>
          <w:sz w:val="16"/>
          <w:szCs w:val="16"/>
        </w:rPr>
        <w:t>0,2</w:t>
      </w:r>
      <w:r w:rsidR="005F2814" w:rsidRPr="00660877">
        <w:rPr>
          <w:color w:val="545454"/>
          <w:sz w:val="16"/>
          <w:szCs w:val="16"/>
        </w:rPr>
        <w:t xml:space="preserve">%, frente al </w:t>
      </w:r>
      <w:r w:rsidR="002C5E96" w:rsidRPr="00660877">
        <w:rPr>
          <w:color w:val="545454"/>
          <w:sz w:val="16"/>
          <w:szCs w:val="16"/>
        </w:rPr>
        <w:t>87,5</w:t>
      </w:r>
      <w:r w:rsidR="005F2814" w:rsidRPr="00660877">
        <w:rPr>
          <w:color w:val="545454"/>
          <w:sz w:val="16"/>
          <w:szCs w:val="16"/>
        </w:rPr>
        <w:t xml:space="preserve">% actual y, por último, </w:t>
      </w:r>
      <w:r w:rsidR="000262CC" w:rsidRPr="00660877">
        <w:rPr>
          <w:color w:val="545454"/>
          <w:sz w:val="16"/>
          <w:szCs w:val="16"/>
        </w:rPr>
        <w:t xml:space="preserve">para </w:t>
      </w:r>
      <w:r w:rsidR="005F2814" w:rsidRPr="00660877">
        <w:rPr>
          <w:color w:val="545454"/>
          <w:sz w:val="16"/>
          <w:szCs w:val="16"/>
        </w:rPr>
        <w:t>las personas que s</w:t>
      </w:r>
      <w:r w:rsidR="000262CC" w:rsidRPr="00660877">
        <w:rPr>
          <w:color w:val="545454"/>
          <w:sz w:val="16"/>
          <w:szCs w:val="16"/>
        </w:rPr>
        <w:t>í</w:t>
      </w:r>
      <w:r w:rsidR="005F2814" w:rsidRPr="00660877">
        <w:rPr>
          <w:color w:val="545454"/>
          <w:sz w:val="16"/>
          <w:szCs w:val="16"/>
        </w:rPr>
        <w:t xml:space="preserve"> lograran cotizar 40 años</w:t>
      </w:r>
      <w:r w:rsidR="006F4D6D" w:rsidRPr="00660877">
        <w:rPr>
          <w:color w:val="545454"/>
          <w:sz w:val="16"/>
          <w:szCs w:val="16"/>
        </w:rPr>
        <w:t>,</w:t>
      </w:r>
      <w:r w:rsidR="005F2814" w:rsidRPr="00660877">
        <w:rPr>
          <w:color w:val="545454"/>
          <w:sz w:val="16"/>
          <w:szCs w:val="16"/>
        </w:rPr>
        <w:t xml:space="preserve"> la caída de la tasa sería de 10 puntos porcentuales (80,2% frente al 90</w:t>
      </w:r>
      <w:r w:rsidR="00C6272E" w:rsidRPr="00660877">
        <w:rPr>
          <w:color w:val="545454"/>
          <w:sz w:val="16"/>
          <w:szCs w:val="16"/>
        </w:rPr>
        <w:t>,</w:t>
      </w:r>
      <w:r w:rsidR="005F2814" w:rsidRPr="00660877">
        <w:rPr>
          <w:color w:val="545454"/>
          <w:sz w:val="16"/>
          <w:szCs w:val="16"/>
        </w:rPr>
        <w:t xml:space="preserve">6% actual). Para </w:t>
      </w:r>
      <w:r w:rsidR="002549EA">
        <w:rPr>
          <w:color w:val="545454"/>
          <w:sz w:val="16"/>
          <w:szCs w:val="16"/>
        </w:rPr>
        <w:t xml:space="preserve">realizar </w:t>
      </w:r>
      <w:r w:rsidR="005F2814" w:rsidRPr="00660877">
        <w:rPr>
          <w:color w:val="545454"/>
          <w:sz w:val="16"/>
          <w:szCs w:val="16"/>
        </w:rPr>
        <w:t>esta estimación se ha partido de las</w:t>
      </w:r>
      <w:r w:rsidR="00EB2970" w:rsidRPr="00660877">
        <w:rPr>
          <w:color w:val="545454"/>
          <w:sz w:val="16"/>
          <w:szCs w:val="16"/>
        </w:rPr>
        <w:t xml:space="preserve"> hipótesis</w:t>
      </w:r>
      <w:r w:rsidR="006F4D6D" w:rsidRPr="00660877">
        <w:rPr>
          <w:color w:val="545454"/>
          <w:sz w:val="16"/>
          <w:szCs w:val="16"/>
        </w:rPr>
        <w:t xml:space="preserve"> para un individuo y situación económica de estas características</w:t>
      </w:r>
      <w:r w:rsidR="005F2814" w:rsidRPr="00660877">
        <w:rPr>
          <w:color w:val="545454"/>
          <w:sz w:val="16"/>
          <w:szCs w:val="16"/>
        </w:rPr>
        <w:t>:</w:t>
      </w:r>
      <w:r w:rsidR="006F4D6D" w:rsidRPr="00660877">
        <w:rPr>
          <w:color w:val="545454"/>
          <w:sz w:val="16"/>
          <w:szCs w:val="16"/>
        </w:rPr>
        <w:t xml:space="preserve"> </w:t>
      </w:r>
      <w:r w:rsidR="002549EA">
        <w:rPr>
          <w:color w:val="545454"/>
          <w:sz w:val="16"/>
          <w:szCs w:val="16"/>
        </w:rPr>
        <w:t xml:space="preserve">crecimiento del </w:t>
      </w:r>
      <w:r w:rsidR="00EB2970" w:rsidRPr="00660877">
        <w:rPr>
          <w:color w:val="545454"/>
          <w:sz w:val="16"/>
          <w:szCs w:val="16"/>
        </w:rPr>
        <w:t>IPC</w:t>
      </w:r>
      <w:r w:rsidR="002549EA">
        <w:rPr>
          <w:color w:val="545454"/>
          <w:sz w:val="16"/>
          <w:szCs w:val="16"/>
        </w:rPr>
        <w:t xml:space="preserve"> del</w:t>
      </w:r>
      <w:r w:rsidR="00EB2970" w:rsidRPr="00660877">
        <w:rPr>
          <w:color w:val="545454"/>
          <w:sz w:val="16"/>
          <w:szCs w:val="16"/>
        </w:rPr>
        <w:t xml:space="preserve"> 2%</w:t>
      </w:r>
      <w:r w:rsidR="002549EA">
        <w:rPr>
          <w:color w:val="545454"/>
          <w:sz w:val="16"/>
          <w:szCs w:val="16"/>
        </w:rPr>
        <w:t>;</w:t>
      </w:r>
      <w:r w:rsidR="00EB2970" w:rsidRPr="00660877">
        <w:rPr>
          <w:color w:val="545454"/>
          <w:sz w:val="16"/>
          <w:szCs w:val="16"/>
        </w:rPr>
        <w:t xml:space="preserve"> </w:t>
      </w:r>
      <w:r w:rsidR="002549EA">
        <w:rPr>
          <w:color w:val="545454"/>
          <w:sz w:val="16"/>
          <w:szCs w:val="16"/>
        </w:rPr>
        <w:t>c</w:t>
      </w:r>
      <w:r w:rsidR="00EB2970" w:rsidRPr="00660877">
        <w:rPr>
          <w:color w:val="545454"/>
          <w:sz w:val="16"/>
          <w:szCs w:val="16"/>
        </w:rPr>
        <w:t>recimiento del salario</w:t>
      </w:r>
      <w:r w:rsidR="002549EA">
        <w:rPr>
          <w:color w:val="545454"/>
          <w:sz w:val="16"/>
          <w:szCs w:val="16"/>
        </w:rPr>
        <w:t xml:space="preserve"> del</w:t>
      </w:r>
      <w:r w:rsidR="00EB2970" w:rsidRPr="00660877">
        <w:rPr>
          <w:color w:val="545454"/>
          <w:sz w:val="16"/>
          <w:szCs w:val="16"/>
        </w:rPr>
        <w:t xml:space="preserve"> 3%</w:t>
      </w:r>
      <w:r w:rsidR="002549EA">
        <w:rPr>
          <w:color w:val="545454"/>
          <w:sz w:val="16"/>
          <w:szCs w:val="16"/>
        </w:rPr>
        <w:t>;</w:t>
      </w:r>
      <w:r w:rsidR="00EB2970" w:rsidRPr="00660877">
        <w:rPr>
          <w:color w:val="545454"/>
          <w:sz w:val="16"/>
          <w:szCs w:val="16"/>
        </w:rPr>
        <w:t xml:space="preserve"> </w:t>
      </w:r>
      <w:r w:rsidR="002549EA">
        <w:rPr>
          <w:color w:val="545454"/>
          <w:sz w:val="16"/>
          <w:szCs w:val="16"/>
        </w:rPr>
        <w:t>c</w:t>
      </w:r>
      <w:r w:rsidR="00EB2970" w:rsidRPr="00660877">
        <w:rPr>
          <w:color w:val="545454"/>
          <w:sz w:val="16"/>
          <w:szCs w:val="16"/>
        </w:rPr>
        <w:t>arrera laboral ininterrumpida</w:t>
      </w:r>
      <w:r w:rsidR="002549EA">
        <w:rPr>
          <w:color w:val="545454"/>
          <w:sz w:val="16"/>
          <w:szCs w:val="16"/>
        </w:rPr>
        <w:t>; p</w:t>
      </w:r>
      <w:r w:rsidR="00EB2970" w:rsidRPr="00660877">
        <w:rPr>
          <w:color w:val="545454"/>
          <w:sz w:val="16"/>
          <w:szCs w:val="16"/>
        </w:rPr>
        <w:t>erfil salarial</w:t>
      </w:r>
      <w:r w:rsidR="00ED0131">
        <w:rPr>
          <w:color w:val="545454"/>
          <w:sz w:val="16"/>
          <w:szCs w:val="16"/>
        </w:rPr>
        <w:t xml:space="preserve"> forma cóncava (</w:t>
      </w:r>
      <w:r w:rsidR="00E473AC">
        <w:rPr>
          <w:color w:val="545454"/>
          <w:sz w:val="16"/>
          <w:szCs w:val="16"/>
        </w:rPr>
        <w:t>creciente desde el 70% del salario medio al inicio de la vida laboral hasta un máximo del 110% entre los 55 y 60 años y acabando en el 100%</w:t>
      </w:r>
      <w:r w:rsidR="00ED0131">
        <w:rPr>
          <w:color w:val="545454"/>
          <w:sz w:val="16"/>
          <w:szCs w:val="16"/>
        </w:rPr>
        <w:t>),</w:t>
      </w:r>
      <w:r w:rsidR="00EB2970" w:rsidRPr="00660877">
        <w:rPr>
          <w:color w:val="545454"/>
          <w:sz w:val="16"/>
          <w:szCs w:val="16"/>
        </w:rPr>
        <w:t xml:space="preserve"> </w:t>
      </w:r>
      <w:r w:rsidR="002549EA">
        <w:rPr>
          <w:color w:val="545454"/>
          <w:sz w:val="16"/>
          <w:szCs w:val="16"/>
        </w:rPr>
        <w:t>t</w:t>
      </w:r>
      <w:r w:rsidR="00EB2970" w:rsidRPr="00660877">
        <w:rPr>
          <w:color w:val="545454"/>
          <w:sz w:val="16"/>
          <w:szCs w:val="16"/>
        </w:rPr>
        <w:t>ablas de mortalidad del INE proyecciones de población 2024-2073.</w:t>
      </w:r>
    </w:p>
    <w:p w14:paraId="38F78D78" w14:textId="49E7D284" w:rsidR="007F5AD2" w:rsidRDefault="00EB2970" w:rsidP="00F63D56">
      <w:pPr>
        <w:widowControl/>
        <w:spacing w:before="120"/>
        <w:ind w:right="0"/>
        <w:jc w:val="both"/>
        <w:rPr>
          <w:color w:val="545454"/>
          <w:sz w:val="16"/>
          <w:szCs w:val="16"/>
        </w:rPr>
      </w:pPr>
      <w:r w:rsidRPr="00204BFC">
        <w:rPr>
          <w:color w:val="545454"/>
          <w:sz w:val="16"/>
          <w:szCs w:val="16"/>
        </w:rPr>
        <w:t>La heterogeneidad en cuanto a las características de los jóvenes y</w:t>
      </w:r>
      <w:r w:rsidR="007F5AD2">
        <w:rPr>
          <w:color w:val="545454"/>
          <w:sz w:val="16"/>
          <w:szCs w:val="16"/>
        </w:rPr>
        <w:t>,</w:t>
      </w:r>
      <w:r w:rsidRPr="00204BFC">
        <w:rPr>
          <w:color w:val="545454"/>
          <w:sz w:val="16"/>
          <w:szCs w:val="16"/>
        </w:rPr>
        <w:t xml:space="preserve"> en especial</w:t>
      </w:r>
      <w:r w:rsidR="009C01B3">
        <w:rPr>
          <w:color w:val="545454"/>
          <w:sz w:val="16"/>
          <w:szCs w:val="16"/>
        </w:rPr>
        <w:t>,</w:t>
      </w:r>
      <w:r w:rsidRPr="00204BFC">
        <w:rPr>
          <w:color w:val="545454"/>
          <w:sz w:val="16"/>
          <w:szCs w:val="16"/>
        </w:rPr>
        <w:t xml:space="preserve"> su nivel de formación</w:t>
      </w:r>
      <w:r w:rsidR="00ED0131">
        <w:rPr>
          <w:color w:val="545454"/>
          <w:sz w:val="16"/>
          <w:szCs w:val="16"/>
        </w:rPr>
        <w:t xml:space="preserve"> </w:t>
      </w:r>
      <w:r w:rsidRPr="00204BFC">
        <w:rPr>
          <w:color w:val="545454"/>
          <w:sz w:val="16"/>
          <w:szCs w:val="16"/>
        </w:rPr>
        <w:t xml:space="preserve">se traslada desde las condiciones laborales de la etapa activa (salarios, duración de la carrera laboral, calidad de los contratos, etc.) a la pensión de la etapa de jubilación. </w:t>
      </w:r>
    </w:p>
    <w:p w14:paraId="592F74CB" w14:textId="77777777" w:rsidR="00F661D3" w:rsidRDefault="00C35BB1" w:rsidP="00F661D3">
      <w:pPr>
        <w:widowControl/>
        <w:spacing w:before="120"/>
        <w:ind w:right="0"/>
        <w:jc w:val="both"/>
        <w:rPr>
          <w:color w:val="545454"/>
          <w:sz w:val="17"/>
          <w:szCs w:val="17"/>
        </w:rPr>
      </w:pPr>
      <w:r w:rsidRPr="00204BFC">
        <w:rPr>
          <w:color w:val="545454"/>
          <w:sz w:val="16"/>
          <w:szCs w:val="16"/>
        </w:rPr>
        <w:t>En general, las personas jóvenes están más expuestas a los</w:t>
      </w:r>
      <w:r w:rsidR="0003721D" w:rsidRPr="00204BFC">
        <w:rPr>
          <w:color w:val="545454"/>
          <w:sz w:val="16"/>
          <w:szCs w:val="16"/>
        </w:rPr>
        <w:t xml:space="preserve"> cambios</w:t>
      </w:r>
      <w:r w:rsidRPr="00204BFC">
        <w:rPr>
          <w:color w:val="545454"/>
          <w:sz w:val="16"/>
          <w:szCs w:val="16"/>
        </w:rPr>
        <w:t xml:space="preserve"> del ciclo económico y la calidad media de sus ocupaciones es peor. El 25,</w:t>
      </w:r>
      <w:r w:rsidR="00592771">
        <w:rPr>
          <w:color w:val="545454"/>
          <w:sz w:val="16"/>
          <w:szCs w:val="16"/>
        </w:rPr>
        <w:t>3</w:t>
      </w:r>
      <w:r w:rsidRPr="00204BFC">
        <w:rPr>
          <w:color w:val="545454"/>
          <w:sz w:val="16"/>
          <w:szCs w:val="16"/>
        </w:rPr>
        <w:t>% de jóvenes trabaja con contratos a tiempo parcial, 12 puntos por encima de la media del conjunto de la población, y la tasa de temporalidad de la juventud ocupada también dobla el promedio</w:t>
      </w:r>
      <w:r w:rsidR="00592771">
        <w:rPr>
          <w:color w:val="545454"/>
          <w:sz w:val="16"/>
          <w:szCs w:val="16"/>
        </w:rPr>
        <w:t xml:space="preserve"> (34,4% vs 15,9%)</w:t>
      </w:r>
      <w:r w:rsidRPr="00204BFC">
        <w:rPr>
          <w:color w:val="545454"/>
          <w:sz w:val="16"/>
          <w:szCs w:val="16"/>
        </w:rPr>
        <w:t>. Una tercera dimensión de su mayor precariedad laboral es la salarial: los salarios de los jóvenes de entre 16 y 29 años son un 3</w:t>
      </w:r>
      <w:r w:rsidR="00592771">
        <w:rPr>
          <w:color w:val="545454"/>
          <w:sz w:val="16"/>
          <w:szCs w:val="16"/>
        </w:rPr>
        <w:t>4</w:t>
      </w:r>
      <w:r w:rsidRPr="00204BFC">
        <w:rPr>
          <w:color w:val="545454"/>
          <w:sz w:val="16"/>
          <w:szCs w:val="16"/>
        </w:rPr>
        <w:t>% inferiores a la media y el progreso de sus ingresos a lo largo de la vida laboral está siendo más lento, pues mientras las cohortes anteriores alcanzaban una base de cotización similar a la media antes de los 27 años, actualmente, los adultos jóvenes a los 34 años todavía no la han alcanzado.</w:t>
      </w:r>
    </w:p>
    <w:p w14:paraId="0CA06D69" w14:textId="1A9819AC" w:rsidR="00F661D3" w:rsidRPr="00660877" w:rsidRDefault="00F661D3" w:rsidP="00F661D3">
      <w:pPr>
        <w:pBdr>
          <w:top w:val="single" w:sz="4" w:space="1" w:color="auto"/>
        </w:pBdr>
        <w:spacing w:after="0"/>
        <w:ind w:right="-149"/>
        <w:rPr>
          <w:rFonts w:eastAsia="Tahoma" w:cs="Tahoma"/>
          <w:b/>
          <w:bCs/>
          <w:color w:val="121212" w:themeColor="background2"/>
          <w:kern w:val="24"/>
          <w:sz w:val="16"/>
          <w:szCs w:val="16"/>
        </w:rPr>
      </w:pPr>
      <w:r w:rsidRPr="00F661D3">
        <w:rPr>
          <w:rFonts w:eastAsia="Tahoma" w:cs="Tahoma"/>
          <w:b/>
          <w:bCs/>
          <w:color w:val="121212" w:themeColor="background2"/>
          <w:kern w:val="24"/>
          <w:sz w:val="16"/>
          <w:szCs w:val="16"/>
        </w:rPr>
        <w:t>Precariedad laboral en los jóvenes, España, 2024 (porcentaje)</w:t>
      </w:r>
      <w:r>
        <w:rPr>
          <w:rFonts w:eastAsia="Tahoma" w:cs="Tahoma"/>
          <w:b/>
          <w:bCs/>
          <w:color w:val="121212" w:themeColor="background2"/>
          <w:kern w:val="24"/>
          <w:sz w:val="16"/>
          <w:szCs w:val="16"/>
        </w:rPr>
        <w:t xml:space="preserve"> </w:t>
      </w:r>
      <w:hyperlink r:id="rId17" w:history="1">
        <w:r w:rsidRPr="00660877">
          <w:rPr>
            <w:rStyle w:val="Hipervnculo"/>
            <w:b/>
            <w:sz w:val="16"/>
            <w:szCs w:val="16"/>
          </w:rPr>
          <w:t>Descargar  &gt;</w:t>
        </w:r>
      </w:hyperlink>
    </w:p>
    <w:p w14:paraId="01920A93" w14:textId="3F06EF35" w:rsidR="00F661D3" w:rsidRPr="00204BFC" w:rsidRDefault="00F661D3" w:rsidP="00F661D3">
      <w:pPr>
        <w:widowControl/>
        <w:spacing w:before="120"/>
        <w:ind w:right="0"/>
        <w:rPr>
          <w:color w:val="545454"/>
          <w:sz w:val="16"/>
          <w:szCs w:val="16"/>
        </w:rPr>
      </w:pPr>
      <w:r>
        <w:rPr>
          <w:noProof/>
        </w:rPr>
        <w:drawing>
          <wp:inline distT="0" distB="0" distL="0" distR="0" wp14:anchorId="0813916F" wp14:editId="7E9004F8">
            <wp:extent cx="3235960" cy="2019300"/>
            <wp:effectExtent l="0" t="0" r="0" b="0"/>
            <wp:docPr id="1509054566" name="Gráfico 1">
              <a:extLst xmlns:a="http://schemas.openxmlformats.org/drawingml/2006/main">
                <a:ext uri="{FF2B5EF4-FFF2-40B4-BE49-F238E27FC236}">
                  <a16:creationId xmlns:a16="http://schemas.microsoft.com/office/drawing/2014/main" id="{E7EBDF80-C5E0-413D-8CE0-CF57F7C02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AC4A12" w14:textId="7DE6D28E" w:rsidR="00F661D3" w:rsidRPr="00204BFC" w:rsidRDefault="00F661D3" w:rsidP="00F661D3">
      <w:pPr>
        <w:pBdr>
          <w:bottom w:val="single" w:sz="4" w:space="1" w:color="auto"/>
        </w:pBdr>
        <w:spacing w:before="60" w:after="0"/>
        <w:jc w:val="both"/>
        <w:rPr>
          <w:rFonts w:asciiTheme="majorHAnsi" w:eastAsia="Times New Roman" w:hAnsiTheme="majorHAnsi" w:cs="Calibri"/>
          <w:sz w:val="16"/>
          <w:szCs w:val="16"/>
        </w:rPr>
      </w:pPr>
      <w:r w:rsidRPr="00F661D3">
        <w:rPr>
          <w:rFonts w:asciiTheme="majorHAnsi" w:eastAsia="Times New Roman" w:hAnsiTheme="majorHAnsi" w:cs="Calibri"/>
          <w:sz w:val="14"/>
          <w:szCs w:val="14"/>
        </w:rPr>
        <w:t>Fuente: INE (Encuesta de Población Activa, Encuesta Anual de Estructura Salarial) y elaboración propia.</w:t>
      </w:r>
      <w:r w:rsidRPr="00204BFC">
        <w:rPr>
          <w:rFonts w:asciiTheme="majorHAnsi" w:eastAsia="Times New Roman" w:hAnsiTheme="majorHAnsi" w:cs="Calibri"/>
          <w:sz w:val="16"/>
          <w:szCs w:val="16"/>
        </w:rPr>
        <w:t xml:space="preserve"> </w:t>
      </w:r>
    </w:p>
    <w:p w14:paraId="0FE07C5A" w14:textId="5C35CC70" w:rsidR="00B16585" w:rsidRDefault="00B16585" w:rsidP="00B16585">
      <w:pPr>
        <w:widowControl/>
        <w:spacing w:before="120"/>
        <w:ind w:right="0"/>
        <w:jc w:val="both"/>
        <w:rPr>
          <w:color w:val="545454"/>
          <w:sz w:val="17"/>
          <w:szCs w:val="17"/>
        </w:rPr>
      </w:pPr>
      <w:r>
        <w:rPr>
          <w:color w:val="545454"/>
          <w:sz w:val="17"/>
          <w:szCs w:val="17"/>
        </w:rPr>
        <w:t>Est</w:t>
      </w:r>
      <w:r w:rsidRPr="00B16585">
        <w:rPr>
          <w:color w:val="545454"/>
          <w:sz w:val="17"/>
          <w:szCs w:val="17"/>
        </w:rPr>
        <w:t>a precariedad se traduce en menores ingresos</w:t>
      </w:r>
      <w:r>
        <w:rPr>
          <w:color w:val="545454"/>
          <w:sz w:val="17"/>
          <w:szCs w:val="17"/>
        </w:rPr>
        <w:t xml:space="preserve">. </w:t>
      </w:r>
      <w:r w:rsidR="00E55658" w:rsidRPr="00E55658">
        <w:rPr>
          <w:color w:val="545454"/>
          <w:sz w:val="17"/>
          <w:szCs w:val="17"/>
        </w:rPr>
        <w:t>Los jóvenes de 16 a 29 años viven en hogares cuyas rentas por unidad de consumo se sitúan en torno a 20.800 euros anuales en 2023, un 4</w:t>
      </w:r>
      <w:r w:rsidR="00E55658">
        <w:rPr>
          <w:color w:val="545454"/>
          <w:sz w:val="17"/>
          <w:szCs w:val="17"/>
        </w:rPr>
        <w:t>,2</w:t>
      </w:r>
      <w:r w:rsidR="00E55658" w:rsidRPr="00E55658">
        <w:rPr>
          <w:color w:val="545454"/>
          <w:sz w:val="17"/>
          <w:szCs w:val="17"/>
        </w:rPr>
        <w:t>% inferiores a la media de los hogares.</w:t>
      </w:r>
    </w:p>
    <w:p w14:paraId="1736CAA2" w14:textId="33211F71" w:rsidR="00EB2970" w:rsidRDefault="00B16585" w:rsidP="00F63D56">
      <w:pPr>
        <w:widowControl/>
        <w:spacing w:before="120"/>
        <w:ind w:right="0"/>
        <w:jc w:val="both"/>
        <w:rPr>
          <w:color w:val="545454"/>
          <w:sz w:val="17"/>
          <w:szCs w:val="17"/>
        </w:rPr>
      </w:pPr>
      <w:r>
        <w:rPr>
          <w:color w:val="545454"/>
          <w:sz w:val="17"/>
          <w:szCs w:val="17"/>
        </w:rPr>
        <w:t>A esta menor capacidad salarial se suman la</w:t>
      </w:r>
      <w:r w:rsidR="0003721D">
        <w:rPr>
          <w:color w:val="545454"/>
          <w:sz w:val="17"/>
          <w:szCs w:val="17"/>
        </w:rPr>
        <w:t>s</w:t>
      </w:r>
      <w:r>
        <w:rPr>
          <w:color w:val="545454"/>
          <w:sz w:val="17"/>
          <w:szCs w:val="17"/>
        </w:rPr>
        <w:t xml:space="preserve"> dificul</w:t>
      </w:r>
      <w:r w:rsidR="0003721D">
        <w:rPr>
          <w:color w:val="545454"/>
          <w:sz w:val="17"/>
          <w:szCs w:val="17"/>
        </w:rPr>
        <w:t>t</w:t>
      </w:r>
      <w:r>
        <w:rPr>
          <w:color w:val="545454"/>
          <w:sz w:val="17"/>
          <w:szCs w:val="17"/>
        </w:rPr>
        <w:t>ades para lograr una carrera laboral de larga duración, lo que incidirá en</w:t>
      </w:r>
      <w:r w:rsidR="0003721D">
        <w:rPr>
          <w:color w:val="545454"/>
          <w:sz w:val="17"/>
          <w:szCs w:val="17"/>
        </w:rPr>
        <w:t xml:space="preserve"> </w:t>
      </w:r>
      <w:r>
        <w:rPr>
          <w:color w:val="545454"/>
          <w:sz w:val="17"/>
          <w:szCs w:val="17"/>
        </w:rPr>
        <w:t>una</w:t>
      </w:r>
      <w:r w:rsidR="00EB2970" w:rsidRPr="00EB2970">
        <w:rPr>
          <w:color w:val="545454"/>
          <w:sz w:val="17"/>
          <w:szCs w:val="17"/>
        </w:rPr>
        <w:t xml:space="preserve"> menor tasa de reemplazo</w:t>
      </w:r>
      <w:r>
        <w:rPr>
          <w:color w:val="545454"/>
          <w:sz w:val="17"/>
          <w:szCs w:val="17"/>
        </w:rPr>
        <w:t xml:space="preserve"> en la pensión futura.</w:t>
      </w:r>
      <w:r w:rsidR="006F4D6D" w:rsidRPr="006F4D6D">
        <w:t xml:space="preserve"> </w:t>
      </w:r>
      <w:r w:rsidR="00EB2970" w:rsidRPr="00EB2970">
        <w:rPr>
          <w:color w:val="545454"/>
          <w:sz w:val="17"/>
          <w:szCs w:val="17"/>
        </w:rPr>
        <w:t>El panorama que se presenta para los actuales jóvenes en cuanto a las pensiones futuras es incierto, ya que, podría haber reformas futuras que afectaran a la tasa de reemplazo en función de la evaluación trienal del exceso de gasto que exige la normativa. A</w:t>
      </w:r>
      <w:r w:rsidR="00AD66A0">
        <w:rPr>
          <w:color w:val="545454"/>
          <w:sz w:val="17"/>
          <w:szCs w:val="17"/>
        </w:rPr>
        <w:t>u</w:t>
      </w:r>
      <w:r w:rsidR="00EB2970" w:rsidRPr="00EB2970">
        <w:rPr>
          <w:color w:val="545454"/>
          <w:sz w:val="17"/>
          <w:szCs w:val="17"/>
        </w:rPr>
        <w:t>n en el caso de que no haya modificaciones normativas, los jóvenes actuales van a tener que realizar un mayor esfuerzo contributivo y soportar una reducción de la tasa de reemplazo, mayor cuanto más disminuya su carrera laboral</w:t>
      </w:r>
      <w:r w:rsidR="006F4D6D">
        <w:rPr>
          <w:color w:val="545454"/>
          <w:sz w:val="17"/>
          <w:szCs w:val="17"/>
        </w:rPr>
        <w:t>. Esta reducción se</w:t>
      </w:r>
      <w:r w:rsidR="000262CC">
        <w:rPr>
          <w:color w:val="545454"/>
          <w:sz w:val="17"/>
          <w:szCs w:val="17"/>
        </w:rPr>
        <w:t xml:space="preserve"> </w:t>
      </w:r>
      <w:r w:rsidR="00EB2970" w:rsidRPr="00EB2970">
        <w:rPr>
          <w:color w:val="545454"/>
          <w:sz w:val="17"/>
          <w:szCs w:val="17"/>
        </w:rPr>
        <w:t>podría eludir demorando el momento de la jubilación. Si</w:t>
      </w:r>
      <w:r w:rsidR="006F4D6D">
        <w:rPr>
          <w:color w:val="545454"/>
          <w:sz w:val="17"/>
          <w:szCs w:val="17"/>
        </w:rPr>
        <w:t>n embargo, si</w:t>
      </w:r>
      <w:r w:rsidR="00EB2970" w:rsidRPr="00EB2970">
        <w:rPr>
          <w:color w:val="545454"/>
          <w:sz w:val="17"/>
          <w:szCs w:val="17"/>
        </w:rPr>
        <w:t xml:space="preserve"> la reforma </w:t>
      </w:r>
      <w:r w:rsidR="005F6352">
        <w:rPr>
          <w:color w:val="545454"/>
          <w:sz w:val="17"/>
          <w:szCs w:val="17"/>
        </w:rPr>
        <w:t xml:space="preserve">se </w:t>
      </w:r>
      <w:r w:rsidR="00AB7064">
        <w:rPr>
          <w:color w:val="545454"/>
          <w:sz w:val="17"/>
          <w:szCs w:val="17"/>
        </w:rPr>
        <w:t xml:space="preserve">intensificara </w:t>
      </w:r>
      <w:r w:rsidR="005F6352">
        <w:rPr>
          <w:color w:val="545454"/>
          <w:sz w:val="17"/>
          <w:szCs w:val="17"/>
        </w:rPr>
        <w:t xml:space="preserve">con las medidas adicionales </w:t>
      </w:r>
      <w:r w:rsidR="000262CC">
        <w:rPr>
          <w:color w:val="545454"/>
          <w:sz w:val="17"/>
          <w:szCs w:val="17"/>
        </w:rPr>
        <w:t xml:space="preserve">comentadas </w:t>
      </w:r>
      <w:r w:rsidR="005F6352">
        <w:rPr>
          <w:color w:val="545454"/>
          <w:sz w:val="17"/>
          <w:szCs w:val="17"/>
        </w:rPr>
        <w:t>para reducir el déficit del sistema</w:t>
      </w:r>
      <w:r w:rsidR="002549EA">
        <w:rPr>
          <w:color w:val="545454"/>
          <w:sz w:val="17"/>
          <w:szCs w:val="17"/>
        </w:rPr>
        <w:t>,</w:t>
      </w:r>
      <w:r w:rsidR="005F6352">
        <w:rPr>
          <w:color w:val="545454"/>
          <w:sz w:val="17"/>
          <w:szCs w:val="17"/>
        </w:rPr>
        <w:t xml:space="preserve"> </w:t>
      </w:r>
      <w:r w:rsidR="000262CC">
        <w:rPr>
          <w:color w:val="545454"/>
          <w:sz w:val="17"/>
          <w:szCs w:val="17"/>
        </w:rPr>
        <w:t>el</w:t>
      </w:r>
      <w:r w:rsidR="00EB2970" w:rsidRPr="00EB2970">
        <w:rPr>
          <w:color w:val="545454"/>
          <w:sz w:val="17"/>
          <w:szCs w:val="17"/>
        </w:rPr>
        <w:t xml:space="preserve"> impacto negativo sería mucho más significativo</w:t>
      </w:r>
      <w:r w:rsidR="005F6352">
        <w:rPr>
          <w:color w:val="545454"/>
          <w:sz w:val="17"/>
          <w:szCs w:val="17"/>
        </w:rPr>
        <w:t xml:space="preserve">. </w:t>
      </w:r>
    </w:p>
    <w:p w14:paraId="2D4F0643" w14:textId="429194FC" w:rsidR="00D1396B" w:rsidRDefault="00D1396B" w:rsidP="00AD66A0">
      <w:pPr>
        <w:widowControl/>
        <w:spacing w:before="240"/>
        <w:ind w:right="0"/>
        <w:rPr>
          <w:color w:val="545454"/>
          <w:sz w:val="17"/>
          <w:szCs w:val="17"/>
        </w:rPr>
      </w:pPr>
    </w:p>
    <w:p w14:paraId="4BAFF3C2" w14:textId="77777777" w:rsidR="00D1396B" w:rsidRDefault="00D1396B" w:rsidP="00963C56">
      <w:pPr>
        <w:widowControl/>
        <w:spacing w:before="120"/>
        <w:ind w:right="0"/>
        <w:rPr>
          <w:color w:val="545454"/>
          <w:sz w:val="17"/>
          <w:szCs w:val="17"/>
        </w:rPr>
      </w:pPr>
    </w:p>
    <w:p w14:paraId="382734E4" w14:textId="77777777" w:rsidR="00D1396B" w:rsidRDefault="00D1396B" w:rsidP="00963C56">
      <w:pPr>
        <w:widowControl/>
        <w:spacing w:before="120"/>
        <w:ind w:right="0"/>
        <w:rPr>
          <w:color w:val="545454"/>
          <w:sz w:val="17"/>
          <w:szCs w:val="17"/>
        </w:rPr>
      </w:pPr>
    </w:p>
    <w:p w14:paraId="5324D962" w14:textId="77777777" w:rsidR="00D1396B" w:rsidRDefault="00D1396B" w:rsidP="00963C56">
      <w:pPr>
        <w:widowControl/>
        <w:spacing w:before="120"/>
        <w:ind w:right="0"/>
        <w:rPr>
          <w:color w:val="545454"/>
          <w:sz w:val="17"/>
          <w:szCs w:val="17"/>
        </w:rPr>
      </w:pPr>
    </w:p>
    <w:p w14:paraId="47B4542D" w14:textId="77777777" w:rsidR="00D1396B" w:rsidRDefault="00D1396B" w:rsidP="00963C56">
      <w:pPr>
        <w:widowControl/>
        <w:spacing w:before="120"/>
        <w:ind w:right="0"/>
        <w:rPr>
          <w:color w:val="545454"/>
          <w:sz w:val="17"/>
          <w:szCs w:val="17"/>
        </w:rPr>
      </w:pPr>
    </w:p>
    <w:p w14:paraId="6C0E1870" w14:textId="77777777" w:rsidR="00D1396B" w:rsidRDefault="00D1396B" w:rsidP="00963C56">
      <w:pPr>
        <w:widowControl/>
        <w:spacing w:before="120"/>
        <w:ind w:right="0"/>
        <w:rPr>
          <w:color w:val="545454"/>
          <w:sz w:val="17"/>
          <w:szCs w:val="17"/>
        </w:rPr>
      </w:pPr>
    </w:p>
    <w:p w14:paraId="73CC7593" w14:textId="77777777" w:rsidR="00D1396B" w:rsidRDefault="00D1396B" w:rsidP="00596C72">
      <w:pPr>
        <w:widowControl/>
        <w:spacing w:before="120"/>
        <w:ind w:right="0"/>
        <w:rPr>
          <w:color w:val="545454"/>
          <w:sz w:val="17"/>
          <w:szCs w:val="17"/>
        </w:rPr>
      </w:pPr>
    </w:p>
    <w:sectPr w:rsidR="00D1396B" w:rsidSect="002A6B44">
      <w:headerReference w:type="default" r:id="rId19"/>
      <w:headerReference w:type="first" r:id="rId20"/>
      <w:type w:val="continuous"/>
      <w:pgSz w:w="11900" w:h="16840" w:code="9"/>
      <w:pgMar w:top="2410" w:right="771" w:bottom="709" w:left="709" w:header="709" w:footer="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9B05" w14:textId="77777777" w:rsidR="003D09B6" w:rsidRDefault="003D09B6" w:rsidP="00482761">
      <w:r>
        <w:separator/>
      </w:r>
    </w:p>
  </w:endnote>
  <w:endnote w:type="continuationSeparator" w:id="0">
    <w:p w14:paraId="0E36F0C7" w14:textId="77777777" w:rsidR="003D09B6" w:rsidRDefault="003D09B6" w:rsidP="004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BVABentonSansLight">
    <w:panose1 w:val="00000000000000020000"/>
    <w:charset w:val="00"/>
    <w:family w:val="auto"/>
    <w:pitch w:val="variable"/>
    <w:sig w:usb0="A000007F" w:usb1="4000804B"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BVABentonSans">
    <w:panose1 w:val="00000000000000020000"/>
    <w:charset w:val="00"/>
    <w:family w:val="auto"/>
    <w:pitch w:val="variable"/>
    <w:sig w:usb0="A00000BF" w:usb1="5000A04B" w:usb2="00000000" w:usb3="00000000" w:csb0="00000093"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1" w:rightFromText="141" w:vertAnchor="text" w:horzAnchor="margin" w:tblpY="207"/>
      <w:tblOverlap w:val="never"/>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578"/>
    </w:tblGrid>
    <w:tr w:rsidR="00EC63B0" w:rsidRPr="001D4BD1" w14:paraId="12FEEE58" w14:textId="77777777" w:rsidTr="0061418A">
      <w:trPr>
        <w:trHeight w:val="635"/>
      </w:trPr>
      <w:tc>
        <w:tcPr>
          <w:tcW w:w="851" w:type="dxa"/>
          <w:shd w:val="clear" w:color="auto" w:fill="F4F4F4"/>
        </w:tcPr>
        <w:p w14:paraId="6A054253" w14:textId="77777777" w:rsidR="00EC63B0" w:rsidRPr="00361648" w:rsidRDefault="00EC63B0" w:rsidP="00EC63B0">
          <w:pPr>
            <w:rPr>
              <w:szCs w:val="18"/>
            </w:rPr>
          </w:pPr>
          <w:r w:rsidRPr="00361648">
            <w:rPr>
              <w:noProof/>
              <w:szCs w:val="18"/>
            </w:rPr>
            <mc:AlternateContent>
              <mc:Choice Requires="wps">
                <w:drawing>
                  <wp:anchor distT="0" distB="0" distL="114300" distR="114300" simplePos="0" relativeHeight="251709440" behindDoc="0" locked="0" layoutInCell="1" allowOverlap="1" wp14:anchorId="218B66FC" wp14:editId="7BFA82D9">
                    <wp:simplePos x="0" y="0"/>
                    <wp:positionH relativeFrom="column">
                      <wp:posOffset>98425</wp:posOffset>
                    </wp:positionH>
                    <wp:positionV relativeFrom="paragraph">
                      <wp:posOffset>73025</wp:posOffset>
                    </wp:positionV>
                    <wp:extent cx="236220" cy="236220"/>
                    <wp:effectExtent l="0" t="0" r="0" b="0"/>
                    <wp:wrapNone/>
                    <wp:docPr id="125412010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6220" cy="236220"/>
                            </a:xfrm>
                            <a:custGeom>
                              <a:avLst/>
                              <a:gdLst>
                                <a:gd name="T0" fmla="*/ 480 w 960"/>
                                <a:gd name="T1" fmla="*/ 320 h 960"/>
                                <a:gd name="T2" fmla="*/ 540 w 960"/>
                                <a:gd name="T3" fmla="*/ 260 h 960"/>
                                <a:gd name="T4" fmla="*/ 480 w 960"/>
                                <a:gd name="T5" fmla="*/ 200 h 960"/>
                                <a:gd name="T6" fmla="*/ 420 w 960"/>
                                <a:gd name="T7" fmla="*/ 260 h 960"/>
                                <a:gd name="T8" fmla="*/ 480 w 960"/>
                                <a:gd name="T9" fmla="*/ 320 h 960"/>
                                <a:gd name="T10" fmla="*/ 440 w 960"/>
                                <a:gd name="T11" fmla="*/ 400 h 960"/>
                                <a:gd name="T12" fmla="*/ 520 w 960"/>
                                <a:gd name="T13" fmla="*/ 400 h 960"/>
                                <a:gd name="T14" fmla="*/ 520 w 960"/>
                                <a:gd name="T15" fmla="*/ 760 h 960"/>
                                <a:gd name="T16" fmla="*/ 440 w 960"/>
                                <a:gd name="T17" fmla="*/ 680 h 960"/>
                                <a:gd name="T18" fmla="*/ 440 w 960"/>
                                <a:gd name="T19" fmla="*/ 400 h 960"/>
                                <a:gd name="T20" fmla="*/ 480 w 960"/>
                                <a:gd name="T21" fmla="*/ 960 h 960"/>
                                <a:gd name="T22" fmla="*/ 960 w 960"/>
                                <a:gd name="T23" fmla="*/ 480 h 960"/>
                                <a:gd name="T24" fmla="*/ 480 w 960"/>
                                <a:gd name="T25" fmla="*/ 0 h 960"/>
                                <a:gd name="T26" fmla="*/ 0 w 960"/>
                                <a:gd name="T27" fmla="*/ 480 h 960"/>
                                <a:gd name="T28" fmla="*/ 480 w 960"/>
                                <a:gd name="T29" fmla="*/ 96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0" h="960">
                                  <a:moveTo>
                                    <a:pt x="480" y="320"/>
                                  </a:moveTo>
                                  <a:cubicBezTo>
                                    <a:pt x="513" y="320"/>
                                    <a:pt x="540" y="293"/>
                                    <a:pt x="540" y="260"/>
                                  </a:cubicBezTo>
                                  <a:cubicBezTo>
                                    <a:pt x="540" y="227"/>
                                    <a:pt x="513" y="200"/>
                                    <a:pt x="480" y="200"/>
                                  </a:cubicBezTo>
                                  <a:cubicBezTo>
                                    <a:pt x="447" y="200"/>
                                    <a:pt x="420" y="227"/>
                                    <a:pt x="420" y="260"/>
                                  </a:cubicBezTo>
                                  <a:cubicBezTo>
                                    <a:pt x="420" y="293"/>
                                    <a:pt x="447" y="320"/>
                                    <a:pt x="480" y="320"/>
                                  </a:cubicBezTo>
                                  <a:close/>
                                  <a:moveTo>
                                    <a:pt x="440" y="400"/>
                                  </a:moveTo>
                                  <a:cubicBezTo>
                                    <a:pt x="520" y="400"/>
                                    <a:pt x="520" y="400"/>
                                    <a:pt x="520" y="400"/>
                                  </a:cubicBezTo>
                                  <a:cubicBezTo>
                                    <a:pt x="520" y="760"/>
                                    <a:pt x="520" y="760"/>
                                    <a:pt x="520" y="760"/>
                                  </a:cubicBezTo>
                                  <a:cubicBezTo>
                                    <a:pt x="440" y="680"/>
                                    <a:pt x="440" y="680"/>
                                    <a:pt x="440" y="680"/>
                                  </a:cubicBezTo>
                                  <a:lnTo>
                                    <a:pt x="440" y="400"/>
                                  </a:lnTo>
                                  <a:close/>
                                  <a:moveTo>
                                    <a:pt x="480" y="960"/>
                                  </a:moveTo>
                                  <a:cubicBezTo>
                                    <a:pt x="745" y="960"/>
                                    <a:pt x="960" y="745"/>
                                    <a:pt x="960" y="480"/>
                                  </a:cubicBezTo>
                                  <a:cubicBezTo>
                                    <a:pt x="960" y="215"/>
                                    <a:pt x="745" y="0"/>
                                    <a:pt x="480" y="0"/>
                                  </a:cubicBezTo>
                                  <a:cubicBezTo>
                                    <a:pt x="215" y="0"/>
                                    <a:pt x="0" y="215"/>
                                    <a:pt x="0" y="480"/>
                                  </a:cubicBezTo>
                                  <a:cubicBezTo>
                                    <a:pt x="0" y="745"/>
                                    <a:pt x="215" y="960"/>
                                    <a:pt x="480" y="96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8204792" id="Freeform 8" o:spid="_x0000_s1026" style="position:absolute;margin-left:7.75pt;margin-top:5.75pt;width:18.6pt;height:18.6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9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p2fwQAAHQQAAAOAAAAZHJzL2Uyb0RvYy54bWysWE1v4zYQvRfofyB0LNDYUvyxFuIs0Gy3&#10;KJBuF4iLnmmKioVKokrSsbO/fmcoUiZtc6MtenEk6mlm3hvOUJO798emJi9cqkq06yS9mSaEt0wU&#10;Vfu8Tv7afPz5XUKUpm1Ba9HydfLKVfL+/scf7g5dzjOxE3XBJQEjrcoP3TrZad3lk4liO95QdSM6&#10;3sLDUsiGariVz5NC0gNYb+pJNp0uJgchi04KxpWC1Q/9w+Te2C9LzvSfZam4JvU6gdi0+ZXmd4u/&#10;k/s7mj9L2u0qZsOg/yGKhlYtOB1MfaCakr2sLkw1FZNCiVLfMNFMRFlWjBsOwCadnrF52tGOGy4g&#10;juoGmdT/Z5Z9ennqPksMXXWPgv2jSCt+LSr9WVStBkcpSjQ5dCofoHij4CWyPfwhCkgq3Wth2B9L&#10;2aAp4EWORuTXQWR+1ITBYna7yDJIBYNH9ho90Ny9zPZK/8aFMURfHpXuc1TAlVG4IC1twOsGjJRN&#10;Den6aUJm76bkQFYLl9EBlHqg22xKdtdAmQeazyKWbj1QtohYmnmgaExzDwSb+HpMCw80g8Cvslt6&#10;oGhMUIJv67TyQFGd0kDymFCpr/ksxi8NRI8RTH3V47Z82edRW77uy1gG00D4KEdf+QVsvqv7Kg2k&#10;j9rytY9yxJp5O42Zrz2Uw/W4Ml97RF3dXFmgfYxj5msf3fKZr30sKl/5WEy+7ujtqu5ZoHusNWS+&#10;7oFW0I2eXb+hO9eC2LG1PQiuCMUTbmraXicUtjtsSNDUNn3LpDmgsGFFwJACBN+a/voWGDRG8HwU&#10;GGRE8HIUGJRC8GoUGOsf0VDhfc/+NkUscQMfRzK1LNNxNLFQjfVxRLEWDXwcVSw3hENBjaGKFWXg&#10;46hi0Rj4OKqZpZqNo4rb31gPqMKmhnTZHSzhy+j8m0gmBL6JtsiX5h3VuPHdJTmsEzxdya7/i+uN&#10;eOEbYRAa9z+Uo/ELx4fV7IRg+23FfuFffPwcmzvEafHg05iBA9gsZyuj5cVyf8Yjm8BmeHdmqhdu&#10;MGUdw9lryQbx2+VRHmYzaEjA4dyU3T5Z6BjO8R79HRyGd0I5nOMz8S5zEOrCaqG4SfApN71WMys7&#10;HEDjsme5WPyg7ajlUdrCQW7UgqPaT9O45VEeHGc4wH0P45YvPNStv7udkZOe7vk3cmArCCut7zqn&#10;LIV57HO2nMGxCrvP4l0OTKHCMj7ui9nsb7eMe6S3HtoM73oP7p2sb8rOg3McymajH28drWL8gRlb&#10;IqHDfvF7Ird7J5TAOTwTzFWNXb7IrMsYPMC+aMaVoUEa9GlkUaKuio9VXWNjNHMsf6gleaEwgVLG&#10;eKvdiRIga/Ot0Ap8s08OrpjBC2ctHGhVvhXFK8xdMG/DILsT8ktCDjC7rhP1755KnpD69xZmtlVq&#10;Np82N7P5EutI+k+2/pN23zwICA6+HGnLwOo60e7yQfezMgyrwPexfeoYAk3Pl0pvjn9T2ZEOLuEl&#10;mPA+CTez0tzNbijagLWUeiL2BkZbo6gdw3F29u8N6vTPgvuvAAAA//8DAFBLAwQUAAYACAAAACEA&#10;2mOLxtsAAAAHAQAADwAAAGRycy9kb3ducmV2LnhtbEyOzU7DMBCE70i8g7VI3KjTQpqSxqkQUi+I&#10;C4VDubnxNokaryPb+eHtWU70NBrNaOYrdrPtxIg+tI4ULBcJCKTKmZZqBV+f+4cNiBA1Gd05QgU/&#10;GGBX3t4UOjduog8cD7EWPEIh1wqaGPtcylA1aHVYuB6Js7PzVke2vpbG64nHbSdXSbKWVrfED43u&#10;8bXB6nIYrIJjFR7tc/ad7N8uk1+PRxzwfVDq/m5+2YKIOMf/MvzhMzqUzHRyA5kgOvZpyk3WJSvn&#10;6SoDcVLwtMlAloW85i9/AQAA//8DAFBLAQItABQABgAIAAAAIQC2gziS/gAAAOEBAAATAAAAAAAA&#10;AAAAAAAAAAAAAABbQ29udGVudF9UeXBlc10ueG1sUEsBAi0AFAAGAAgAAAAhADj9If/WAAAAlAEA&#10;AAsAAAAAAAAAAAAAAAAALwEAAF9yZWxzLy5yZWxzUEsBAi0AFAAGAAgAAAAhACO6qnZ/BAAAdBAA&#10;AA4AAAAAAAAAAAAAAAAALgIAAGRycy9lMm9Eb2MueG1sUEsBAi0AFAAGAAgAAAAhANpji8bbAAAA&#10;BwEAAA8AAAAAAAAAAAAAAAAA2QYAAGRycy9kb3ducmV2LnhtbFBLBQYAAAAABAAEAPMAAADhBwAA&#10;AAA=&#10;" path="m480,320v33,,60,-27,60,-60c540,227,513,200,480,200v-33,,-60,27,-60,60c420,293,447,320,480,320xm440,400v80,,80,,80,c520,760,520,760,520,760,440,680,440,680,440,680r,-280xm480,960v265,,480,-215,480,-480c960,215,745,,480,,215,,,215,,480,,745,215,960,480,960xe" fillcolor="#1973b8 [3204]" stroked="f">
                    <v:path arrowok="t" o:connecttype="custom" o:connectlocs="118110,78740;132874,63976;118110,49213;103346,63976;118110,78740;108268,98425;127953,98425;127953,187008;108268,167323;108268,98425;118110,236220;236220,118110;118110,0;0,118110;118110,236220" o:connectangles="0,0,0,0,0,0,0,0,0,0,0,0,0,0,0"/>
                    <o:lock v:ext="edit" verticies="t"/>
                  </v:shape>
                </w:pict>
              </mc:Fallback>
            </mc:AlternateContent>
          </w:r>
        </w:p>
      </w:tc>
      <w:tc>
        <w:tcPr>
          <w:tcW w:w="9578" w:type="dxa"/>
          <w:shd w:val="clear" w:color="auto" w:fill="F4F4F4"/>
          <w:vAlign w:val="center"/>
        </w:tcPr>
        <w:p w14:paraId="66CE4A22" w14:textId="0472FD79" w:rsidR="00EC63B0" w:rsidRPr="008D791D" w:rsidRDefault="001543A8" w:rsidP="00EC63B0">
          <w:pPr>
            <w:pStyle w:val="vinculoinforme"/>
            <w:rPr>
              <w:rFonts w:asciiTheme="minorHAnsi" w:hAnsiTheme="minorHAnsi"/>
              <w:color w:val="888888" w:themeColor="background2" w:themeTint="80"/>
              <w:spacing w:val="-3"/>
              <w:szCs w:val="18"/>
            </w:rPr>
          </w:pPr>
          <w:hyperlink r:id="rId1" w:history="1">
            <w:r w:rsidRPr="008D791D">
              <w:t xml:space="preserve"> </w:t>
            </w:r>
            <w:r w:rsidRPr="008D791D">
              <w:rPr>
                <w:rStyle w:val="Hipervnculo"/>
                <w:rFonts w:asciiTheme="minorHAnsi" w:hAnsiTheme="minorHAnsi"/>
                <w:color w:val="888888" w:themeColor="background2" w:themeTint="80"/>
                <w:spacing w:val="-3"/>
                <w:szCs w:val="18"/>
                <w:u w:val="none"/>
              </w:rPr>
              <w:t>Para ampliar esta información puede consultarse</w:t>
            </w:r>
            <w:r w:rsidR="002B49B3" w:rsidRPr="008D791D">
              <w:rPr>
                <w:rStyle w:val="Hipervnculo"/>
                <w:rFonts w:asciiTheme="minorHAnsi" w:hAnsiTheme="minorHAnsi"/>
                <w:color w:val="888888" w:themeColor="background2" w:themeTint="80"/>
                <w:spacing w:val="-3"/>
                <w:szCs w:val="18"/>
                <w:u w:val="none"/>
              </w:rPr>
              <w:t xml:space="preserve">: </w:t>
            </w:r>
            <w:r w:rsidR="008552B9" w:rsidRPr="008D791D">
              <w:rPr>
                <w:rStyle w:val="Hipervnculo"/>
                <w:rFonts w:asciiTheme="minorHAnsi" w:hAnsiTheme="minorHAnsi"/>
                <w:color w:val="888888" w:themeColor="background2" w:themeTint="80"/>
                <w:spacing w:val="-3"/>
                <w:szCs w:val="18"/>
                <w:u w:val="none"/>
              </w:rPr>
              <w:t xml:space="preserve"> </w:t>
            </w:r>
            <w:r w:rsidR="005070CD" w:rsidRPr="008D791D">
              <w:rPr>
                <w:rStyle w:val="Hipervnculo"/>
                <w:rFonts w:asciiTheme="minorHAnsi" w:hAnsiTheme="minorHAnsi"/>
                <w:color w:val="888888" w:themeColor="background2" w:themeTint="80"/>
                <w:spacing w:val="-3"/>
                <w:szCs w:val="18"/>
                <w:u w:val="none"/>
              </w:rPr>
              <w:t xml:space="preserve">Presente y futuro de la juventud española.  Una perspectiva socioeconómica </w:t>
            </w:r>
            <w:r w:rsidR="00EC63B0" w:rsidRPr="008D791D">
              <w:rPr>
                <w:rStyle w:val="Hipervnculo"/>
                <w:rFonts w:asciiTheme="minorHAnsi" w:hAnsiTheme="minorHAnsi"/>
                <w:color w:val="888888" w:themeColor="background2" w:themeTint="80"/>
                <w:spacing w:val="-3"/>
                <w:szCs w:val="18"/>
                <w:u w:val="none"/>
              </w:rPr>
              <w:t>(Fundación BBVA</w:t>
            </w:r>
            <w:r w:rsidR="008D791D" w:rsidRPr="008D791D">
              <w:rPr>
                <w:rStyle w:val="Hipervnculo"/>
                <w:rFonts w:asciiTheme="minorHAnsi" w:hAnsiTheme="minorHAnsi"/>
                <w:color w:val="888888" w:themeColor="background2" w:themeTint="80"/>
                <w:spacing w:val="-3"/>
                <w:szCs w:val="18"/>
                <w:u w:val="none"/>
              </w:rPr>
              <w:t>, 2023</w:t>
            </w:r>
            <w:r w:rsidR="00EC63B0" w:rsidRPr="008D791D">
              <w:rPr>
                <w:rStyle w:val="Hipervnculo"/>
                <w:rFonts w:asciiTheme="minorHAnsi" w:hAnsiTheme="minorHAnsi"/>
                <w:color w:val="888888" w:themeColor="background2" w:themeTint="80"/>
                <w:spacing w:val="-3"/>
                <w:szCs w:val="18"/>
                <w:u w:val="none"/>
              </w:rPr>
              <w:t>).</w:t>
            </w:r>
          </w:hyperlink>
        </w:p>
      </w:tc>
    </w:tr>
  </w:tbl>
  <w:p w14:paraId="590A6056" w14:textId="77777777" w:rsidR="00EC63B0" w:rsidRDefault="00EC63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5346" w14:textId="77777777" w:rsidR="003D09B6" w:rsidRDefault="003D09B6" w:rsidP="00482761">
      <w:r>
        <w:separator/>
      </w:r>
    </w:p>
  </w:footnote>
  <w:footnote w:type="continuationSeparator" w:id="0">
    <w:p w14:paraId="7247EEBC" w14:textId="77777777" w:rsidR="003D09B6" w:rsidRDefault="003D09B6" w:rsidP="0048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5337" w14:textId="77777777" w:rsidR="00E239AA" w:rsidRDefault="00E239AA" w:rsidP="00DC6874">
    <w:pPr>
      <w:pStyle w:val="Fechacabecera"/>
      <w:jc w:val="left"/>
    </w:pPr>
    <w:r>
      <w:rPr>
        <w:noProof/>
        <w:lang w:val="es-ES"/>
      </w:rPr>
      <w:drawing>
        <wp:anchor distT="0" distB="0" distL="114300" distR="114300" simplePos="0" relativeHeight="251656192" behindDoc="0" locked="0" layoutInCell="1" allowOverlap="1" wp14:anchorId="59617084" wp14:editId="0A266D4B">
          <wp:simplePos x="0" y="0"/>
          <wp:positionH relativeFrom="column">
            <wp:posOffset>5939025</wp:posOffset>
          </wp:positionH>
          <wp:positionV relativeFrom="paragraph">
            <wp:posOffset>0</wp:posOffset>
          </wp:positionV>
          <wp:extent cx="680400" cy="360000"/>
          <wp:effectExtent l="0" t="0" r="5715" b="2540"/>
          <wp:wrapNone/>
          <wp:docPr id="1986963179" name="Imagen 198696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4144" behindDoc="0" locked="0" layoutInCell="1" allowOverlap="1" wp14:anchorId="7F3B9AF4" wp14:editId="2CB47223">
          <wp:simplePos x="0" y="0"/>
          <wp:positionH relativeFrom="column">
            <wp:posOffset>0</wp:posOffset>
          </wp:positionH>
          <wp:positionV relativeFrom="paragraph">
            <wp:posOffset>-635</wp:posOffset>
          </wp:positionV>
          <wp:extent cx="1829435" cy="581025"/>
          <wp:effectExtent l="0" t="0" r="0" b="9525"/>
          <wp:wrapNone/>
          <wp:docPr id="121711232" name="Imagen 1217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027D244D" w14:textId="77777777" w:rsidR="00E239AA" w:rsidRDefault="00E239AA" w:rsidP="00DC6874">
    <w:pPr>
      <w:pStyle w:val="Fechacabecera"/>
    </w:pPr>
  </w:p>
  <w:p w14:paraId="15E63DBF" w14:textId="77777777" w:rsidR="00E239AA" w:rsidRDefault="00E239AA" w:rsidP="00DC6874">
    <w:pPr>
      <w:pStyle w:val="Fechacabecera"/>
    </w:pPr>
  </w:p>
  <w:p w14:paraId="3CDB7C77" w14:textId="77777777" w:rsidR="00E239AA" w:rsidRDefault="00E239AA" w:rsidP="00DC6874">
    <w:pPr>
      <w:pStyle w:val="Fechacabecera"/>
    </w:pPr>
  </w:p>
  <w:p w14:paraId="4B42B4ED" w14:textId="77777777" w:rsidR="00E239AA" w:rsidRPr="00F03373" w:rsidRDefault="00E239AA" w:rsidP="00DC6874">
    <w:pPr>
      <w:pStyle w:val="Fechacabecera"/>
    </w:pPr>
    <w:r w:rsidRPr="00AF74B7">
      <w:t xml:space="preserve">N.º </w:t>
    </w:r>
    <w:r>
      <w:t>43</w:t>
    </w:r>
    <w:r w:rsidRPr="00AF74B7">
      <w:t>/20</w:t>
    </w:r>
    <w:r>
      <w:t>20</w:t>
    </w:r>
  </w:p>
  <w:p w14:paraId="5923BDD0" w14:textId="77777777" w:rsidR="00E239AA" w:rsidRDefault="00E239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FF52" w14:textId="013DEE8B" w:rsidR="00E239AA" w:rsidRDefault="006E2C25" w:rsidP="00DC6874">
    <w:pPr>
      <w:pStyle w:val="Fechacabecera"/>
      <w:jc w:val="left"/>
    </w:pPr>
    <w:r>
      <w:rPr>
        <w:noProof/>
        <w:lang w:val="es-ES"/>
      </w:rPr>
      <w:drawing>
        <wp:anchor distT="0" distB="0" distL="114300" distR="114300" simplePos="0" relativeHeight="251658240" behindDoc="0" locked="0" layoutInCell="1" allowOverlap="1" wp14:anchorId="064E4EB6" wp14:editId="1832D638">
          <wp:simplePos x="0" y="0"/>
          <wp:positionH relativeFrom="column">
            <wp:posOffset>-3810</wp:posOffset>
          </wp:positionH>
          <wp:positionV relativeFrom="paragraph">
            <wp:posOffset>-635</wp:posOffset>
          </wp:positionV>
          <wp:extent cx="1829435" cy="574675"/>
          <wp:effectExtent l="0" t="0" r="0" b="0"/>
          <wp:wrapNone/>
          <wp:docPr id="273208586" name="Imagen 27320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08586" name="Imagen 273208586"/>
                  <pic:cNvPicPr/>
                </pic:nvPicPr>
                <pic:blipFill>
                  <a:blip r:embed="rId1">
                    <a:extLst>
                      <a:ext uri="{28A0092B-C50C-407E-A947-70E740481C1C}">
                        <a14:useLocalDpi xmlns:a14="http://schemas.microsoft.com/office/drawing/2010/main" val="0"/>
                      </a:ext>
                    </a:extLst>
                  </a:blip>
                  <a:stretch>
                    <a:fillRect/>
                  </a:stretch>
                </pic:blipFill>
                <pic:spPr>
                  <a:xfrm>
                    <a:off x="0" y="0"/>
                    <a:ext cx="1829435" cy="574675"/>
                  </a:xfrm>
                  <a:prstGeom prst="rect">
                    <a:avLst/>
                  </a:prstGeom>
                </pic:spPr>
              </pic:pic>
            </a:graphicData>
          </a:graphic>
          <wp14:sizeRelH relativeFrom="margin">
            <wp14:pctWidth>0</wp14:pctWidth>
          </wp14:sizeRelH>
          <wp14:sizeRelV relativeFrom="margin">
            <wp14:pctHeight>0</wp14:pctHeight>
          </wp14:sizeRelV>
        </wp:anchor>
      </w:drawing>
    </w:r>
    <w:r w:rsidR="00E239AA">
      <w:rPr>
        <w:noProof/>
        <w:lang w:val="es-ES"/>
      </w:rPr>
      <w:drawing>
        <wp:anchor distT="0" distB="0" distL="114300" distR="114300" simplePos="0" relativeHeight="251660288" behindDoc="0" locked="0" layoutInCell="1" allowOverlap="1" wp14:anchorId="547AAC9A" wp14:editId="3FF4FFFF">
          <wp:simplePos x="0" y="0"/>
          <wp:positionH relativeFrom="column">
            <wp:posOffset>5939025</wp:posOffset>
          </wp:positionH>
          <wp:positionV relativeFrom="paragraph">
            <wp:posOffset>0</wp:posOffset>
          </wp:positionV>
          <wp:extent cx="680400" cy="360000"/>
          <wp:effectExtent l="0" t="0" r="5715" b="2540"/>
          <wp:wrapNone/>
          <wp:docPr id="1224470345" name="Imagen 122447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p>
  <w:p w14:paraId="69A4DD8E" w14:textId="77777777" w:rsidR="00E239AA" w:rsidRDefault="00E239AA" w:rsidP="00DC6874">
    <w:pPr>
      <w:pStyle w:val="Fechacabecera"/>
    </w:pPr>
  </w:p>
  <w:p w14:paraId="74D478A9" w14:textId="77777777" w:rsidR="00E239AA" w:rsidRDefault="00E239AA" w:rsidP="00DC6874">
    <w:pPr>
      <w:pStyle w:val="Fechacabecera"/>
    </w:pPr>
  </w:p>
  <w:p w14:paraId="1625D0B3" w14:textId="77777777" w:rsidR="00E239AA" w:rsidRPr="00AD03A4" w:rsidRDefault="00E239AA" w:rsidP="00DC6874">
    <w:pPr>
      <w:pStyle w:val="Nombredoc"/>
    </w:pPr>
    <w:r w:rsidRPr="00AD03A4">
      <w:t>Esenciales</w:t>
    </w:r>
  </w:p>
  <w:p w14:paraId="43C42CAF" w14:textId="3489F82A" w:rsidR="00E239AA" w:rsidRPr="00DC6874" w:rsidRDefault="00E239AA" w:rsidP="00427CBD">
    <w:pPr>
      <w:pStyle w:val="Fechacabecera"/>
    </w:pPr>
    <w:r w:rsidRPr="00B920A4">
      <w:t xml:space="preserve">N.º </w:t>
    </w:r>
    <w:r w:rsidR="00EC63B0" w:rsidRPr="00B920A4">
      <w:t>0</w:t>
    </w:r>
    <w:r w:rsidR="00B920A4" w:rsidRPr="00B920A4">
      <w:t>3</w:t>
    </w:r>
    <w:r w:rsidRPr="00B920A4">
      <w:t>/202</w:t>
    </w:r>
    <w:r w:rsidR="00335C25" w:rsidRPr="00B920A4">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E4CC" w14:textId="704BC5F2" w:rsidR="00DC6874" w:rsidRDefault="006E2C25" w:rsidP="00DC6874">
    <w:pPr>
      <w:pStyle w:val="Fechacabecera"/>
      <w:jc w:val="left"/>
    </w:pPr>
    <w:r>
      <w:rPr>
        <w:noProof/>
        <w:lang w:val="es-ES"/>
      </w:rPr>
      <w:drawing>
        <wp:anchor distT="0" distB="0" distL="114300" distR="114300" simplePos="0" relativeHeight="251703296" behindDoc="0" locked="0" layoutInCell="1" allowOverlap="1" wp14:anchorId="2D7DB4A4" wp14:editId="654C9988">
          <wp:simplePos x="0" y="0"/>
          <wp:positionH relativeFrom="column">
            <wp:posOffset>-3810</wp:posOffset>
          </wp:positionH>
          <wp:positionV relativeFrom="paragraph">
            <wp:posOffset>-635</wp:posOffset>
          </wp:positionV>
          <wp:extent cx="1829435" cy="574675"/>
          <wp:effectExtent l="0" t="0" r="0" b="0"/>
          <wp:wrapNone/>
          <wp:docPr id="1423587288" name="Imagen 142358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87288" name="Imagen 1423587288"/>
                  <pic:cNvPicPr/>
                </pic:nvPicPr>
                <pic:blipFill>
                  <a:blip r:embed="rId1">
                    <a:extLst>
                      <a:ext uri="{28A0092B-C50C-407E-A947-70E740481C1C}">
                        <a14:useLocalDpi xmlns:a14="http://schemas.microsoft.com/office/drawing/2010/main" val="0"/>
                      </a:ext>
                    </a:extLst>
                  </a:blip>
                  <a:stretch>
                    <a:fillRect/>
                  </a:stretch>
                </pic:blipFill>
                <pic:spPr>
                  <a:xfrm>
                    <a:off x="0" y="0"/>
                    <a:ext cx="1829435" cy="574675"/>
                  </a:xfrm>
                  <a:prstGeom prst="rect">
                    <a:avLst/>
                  </a:prstGeom>
                </pic:spPr>
              </pic:pic>
            </a:graphicData>
          </a:graphic>
          <wp14:sizeRelH relativeFrom="margin">
            <wp14:pctWidth>0</wp14:pctWidth>
          </wp14:sizeRelH>
          <wp14:sizeRelV relativeFrom="margin">
            <wp14:pctHeight>0</wp14:pctHeight>
          </wp14:sizeRelV>
        </wp:anchor>
      </w:drawing>
    </w:r>
    <w:r w:rsidR="00DC6874">
      <w:rPr>
        <w:noProof/>
        <w:lang w:val="es-ES"/>
      </w:rPr>
      <w:drawing>
        <wp:anchor distT="0" distB="0" distL="114300" distR="114300" simplePos="0" relativeHeight="251704320" behindDoc="0" locked="0" layoutInCell="1" allowOverlap="1" wp14:anchorId="5DC44AF8" wp14:editId="25F5B653">
          <wp:simplePos x="0" y="0"/>
          <wp:positionH relativeFrom="column">
            <wp:posOffset>5939025</wp:posOffset>
          </wp:positionH>
          <wp:positionV relativeFrom="paragraph">
            <wp:posOffset>0</wp:posOffset>
          </wp:positionV>
          <wp:extent cx="680400" cy="360000"/>
          <wp:effectExtent l="0" t="0" r="5715" b="2540"/>
          <wp:wrapNone/>
          <wp:docPr id="185885348" name="Imagen 18588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p>
  <w:p w14:paraId="43263023" w14:textId="77777777" w:rsidR="00DC6874" w:rsidRDefault="00DC6874" w:rsidP="00DC6874">
    <w:pPr>
      <w:pStyle w:val="Fechacabecera"/>
    </w:pPr>
  </w:p>
  <w:p w14:paraId="2B119A3D" w14:textId="77777777" w:rsidR="00DC6874" w:rsidRDefault="00DC6874" w:rsidP="00DC6874">
    <w:pPr>
      <w:pStyle w:val="Fechacabecera"/>
    </w:pPr>
  </w:p>
  <w:p w14:paraId="5D56E2BC" w14:textId="77777777" w:rsidR="00DC6874" w:rsidRDefault="00DC6874" w:rsidP="00DC6874">
    <w:pPr>
      <w:pStyle w:val="Fechacabecera"/>
    </w:pPr>
  </w:p>
  <w:p w14:paraId="6945388F" w14:textId="6ABE32F8" w:rsidR="00DC6874" w:rsidRPr="00F03373" w:rsidRDefault="00DC6874" w:rsidP="00DC6874">
    <w:pPr>
      <w:pStyle w:val="Fechacabecera"/>
    </w:pPr>
    <w:r w:rsidRPr="00AF74B7">
      <w:t xml:space="preserve">N.º </w:t>
    </w:r>
    <w:r w:rsidR="0044638D">
      <w:t>0</w:t>
    </w:r>
    <w:r w:rsidR="00B920A4">
      <w:t>3</w:t>
    </w:r>
    <w:r w:rsidRPr="00AF74B7">
      <w:t>/20</w:t>
    </w:r>
    <w:r w:rsidR="002C53BF">
      <w:t>2</w:t>
    </w:r>
    <w:r w:rsidR="00335C25">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77B7" w14:textId="77777777" w:rsidR="00DC6874" w:rsidRDefault="00DC6874" w:rsidP="00DC6874">
    <w:pPr>
      <w:pStyle w:val="Fechacabecera"/>
      <w:jc w:val="left"/>
    </w:pPr>
    <w:r>
      <w:rPr>
        <w:noProof/>
        <w:lang w:val="es-ES"/>
      </w:rPr>
      <w:drawing>
        <wp:anchor distT="0" distB="0" distL="114300" distR="114300" simplePos="0" relativeHeight="251707392" behindDoc="0" locked="0" layoutInCell="1" allowOverlap="1" wp14:anchorId="5343D80A" wp14:editId="6CC3DBE2">
          <wp:simplePos x="0" y="0"/>
          <wp:positionH relativeFrom="column">
            <wp:posOffset>5939025</wp:posOffset>
          </wp:positionH>
          <wp:positionV relativeFrom="paragraph">
            <wp:posOffset>0</wp:posOffset>
          </wp:positionV>
          <wp:extent cx="680400" cy="360000"/>
          <wp:effectExtent l="0" t="0" r="5715" b="2540"/>
          <wp:wrapNone/>
          <wp:docPr id="334480877" name="Imagen 33448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706368" behindDoc="0" locked="0" layoutInCell="1" allowOverlap="1" wp14:anchorId="30D76EA7" wp14:editId="53BCD8C1">
          <wp:simplePos x="0" y="0"/>
          <wp:positionH relativeFrom="column">
            <wp:posOffset>0</wp:posOffset>
          </wp:positionH>
          <wp:positionV relativeFrom="paragraph">
            <wp:posOffset>-635</wp:posOffset>
          </wp:positionV>
          <wp:extent cx="1829435" cy="581025"/>
          <wp:effectExtent l="0" t="0" r="0" b="9525"/>
          <wp:wrapNone/>
          <wp:docPr id="2084441218" name="Imagen 208444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39A95663" w14:textId="77777777" w:rsidR="00DC6874" w:rsidRDefault="00DC6874" w:rsidP="00DC6874">
    <w:pPr>
      <w:pStyle w:val="Fechacabecera"/>
    </w:pPr>
  </w:p>
  <w:p w14:paraId="3063E291" w14:textId="77777777" w:rsidR="00DC6874" w:rsidRDefault="00DC6874" w:rsidP="00DC6874">
    <w:pPr>
      <w:pStyle w:val="Fechacabecera"/>
    </w:pPr>
  </w:p>
  <w:p w14:paraId="02F79CE9" w14:textId="77777777" w:rsidR="00DC6874" w:rsidRPr="00AD03A4" w:rsidRDefault="00DC6874" w:rsidP="00DC6874">
    <w:pPr>
      <w:pStyle w:val="Nombredoc"/>
    </w:pPr>
    <w:r w:rsidRPr="00AD03A4">
      <w:t>Esenciales</w:t>
    </w:r>
  </w:p>
  <w:p w14:paraId="704B4E04" w14:textId="77777777" w:rsidR="00DC6874" w:rsidRPr="00F03373" w:rsidRDefault="00DC6874" w:rsidP="00DC6874">
    <w:pPr>
      <w:pStyle w:val="Fechacabecera"/>
    </w:pPr>
    <w:r w:rsidRPr="00AF74B7">
      <w:t xml:space="preserve">N.º </w:t>
    </w:r>
    <w:r>
      <w:t>4</w:t>
    </w:r>
    <w:r w:rsidR="002C53BF">
      <w:t>3</w:t>
    </w:r>
    <w:r w:rsidRPr="00AF74B7">
      <w:t>/20</w:t>
    </w:r>
    <w:r w:rsidR="002C53BF">
      <w:t>20</w:t>
    </w:r>
  </w:p>
  <w:p w14:paraId="13FCD237" w14:textId="77777777" w:rsidR="006C4CB5" w:rsidRPr="00DC6874" w:rsidRDefault="006C4CB5" w:rsidP="00DC6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8.45pt;visibility:visible;mso-wrap-style:square" o:bullet="t">
        <v:imagedata r:id="rId1" o:title=""/>
      </v:shape>
    </w:pict>
  </w:numPicBullet>
  <w:numPicBullet w:numPicBulletId="1">
    <w:pict>
      <v:shape id="_x0000_i1027" type="#_x0000_t75" style="width:43.55pt;height:28.45pt;visibility:visible;mso-wrap-style:square" o:bullet="t">
        <v:imagedata r:id="rId2" o:title=""/>
      </v:shape>
    </w:pict>
  </w:numPicBullet>
  <w:numPicBullet w:numPicBulletId="2">
    <w:pict>
      <v:shape id="_x0000_i1028" type="#_x0000_t75" style="width:43.55pt;height:28.45pt;visibility:visible;mso-wrap-style:square" o:bullet="t">
        <v:imagedata r:id="rId3" o:title=""/>
      </v:shape>
    </w:pict>
  </w:numPicBullet>
  <w:abstractNum w:abstractNumId="0" w15:restartNumberingAfterBreak="0">
    <w:nsid w:val="FC1F22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C1824"/>
    <w:multiLevelType w:val="hybridMultilevel"/>
    <w:tmpl w:val="E8C8BD42"/>
    <w:lvl w:ilvl="0" w:tplc="9446A524">
      <w:start w:val="1"/>
      <w:numFmt w:val="bullet"/>
      <w:lvlText w:val=""/>
      <w:lvlJc w:val="left"/>
      <w:pPr>
        <w:ind w:left="428" w:hanging="360"/>
      </w:pPr>
      <w:rPr>
        <w:rFonts w:ascii="Wingdings" w:hAnsi="Wingdings" w:hint="default"/>
        <w:color w:val="2A86CA"/>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F72A1A"/>
    <w:multiLevelType w:val="hybridMultilevel"/>
    <w:tmpl w:val="B770C0A2"/>
    <w:lvl w:ilvl="0" w:tplc="52F25E30">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2A0D37"/>
    <w:multiLevelType w:val="hybridMultilevel"/>
    <w:tmpl w:val="415265AA"/>
    <w:lvl w:ilvl="0" w:tplc="DCD67E9C">
      <w:start w:val="1"/>
      <w:numFmt w:val="bullet"/>
      <w:lvlText w:val=""/>
      <w:lvlPicBulletId w:val="1"/>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5A82502"/>
    <w:multiLevelType w:val="hybridMultilevel"/>
    <w:tmpl w:val="B0F8BE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1F4701"/>
    <w:multiLevelType w:val="hybridMultilevel"/>
    <w:tmpl w:val="8B42C676"/>
    <w:lvl w:ilvl="0" w:tplc="A172F91E">
      <w:start w:val="1"/>
      <w:numFmt w:val="bullet"/>
      <w:lvlText w:val=""/>
      <w:lvlPicBulletId w:val="2"/>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C746F6"/>
    <w:multiLevelType w:val="hybridMultilevel"/>
    <w:tmpl w:val="AEB4B1B8"/>
    <w:lvl w:ilvl="0" w:tplc="48D81A7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0C43"/>
    <w:multiLevelType w:val="hybridMultilevel"/>
    <w:tmpl w:val="DA5C7F8A"/>
    <w:lvl w:ilvl="0" w:tplc="32846948">
      <w:start w:val="1"/>
      <w:numFmt w:val="bullet"/>
      <w:lvlText w:val=""/>
      <w:lvlPicBulletId w:val="2"/>
      <w:lvlJc w:val="left"/>
      <w:pPr>
        <w:ind w:left="72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2815834">
    <w:abstractNumId w:val="2"/>
  </w:num>
  <w:num w:numId="2" w16cid:durableId="404843838">
    <w:abstractNumId w:val="2"/>
  </w:num>
  <w:num w:numId="3" w16cid:durableId="422648622">
    <w:abstractNumId w:val="1"/>
  </w:num>
  <w:num w:numId="4" w16cid:durableId="1746414504">
    <w:abstractNumId w:val="3"/>
  </w:num>
  <w:num w:numId="5" w16cid:durableId="549221861">
    <w:abstractNumId w:val="3"/>
    <w:lvlOverride w:ilvl="0">
      <w:startOverride w:val="1"/>
    </w:lvlOverride>
  </w:num>
  <w:num w:numId="6" w16cid:durableId="852382062">
    <w:abstractNumId w:val="5"/>
  </w:num>
  <w:num w:numId="7" w16cid:durableId="682361450">
    <w:abstractNumId w:val="5"/>
  </w:num>
  <w:num w:numId="8" w16cid:durableId="1661928060">
    <w:abstractNumId w:val="5"/>
  </w:num>
  <w:num w:numId="9" w16cid:durableId="1439527645">
    <w:abstractNumId w:val="7"/>
  </w:num>
  <w:num w:numId="10" w16cid:durableId="54282000">
    <w:abstractNumId w:val="4"/>
  </w:num>
  <w:num w:numId="11" w16cid:durableId="1582182041">
    <w:abstractNumId w:val="6"/>
  </w:num>
  <w:num w:numId="12" w16cid:durableId="28065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A6"/>
    <w:rsid w:val="000005C3"/>
    <w:rsid w:val="00000636"/>
    <w:rsid w:val="00000DA5"/>
    <w:rsid w:val="000010DF"/>
    <w:rsid w:val="00005FCA"/>
    <w:rsid w:val="00006751"/>
    <w:rsid w:val="000071D5"/>
    <w:rsid w:val="00007B61"/>
    <w:rsid w:val="00007D5D"/>
    <w:rsid w:val="000112F2"/>
    <w:rsid w:val="00012016"/>
    <w:rsid w:val="000132E2"/>
    <w:rsid w:val="000133D7"/>
    <w:rsid w:val="0001357C"/>
    <w:rsid w:val="00013A94"/>
    <w:rsid w:val="000143D1"/>
    <w:rsid w:val="0001443B"/>
    <w:rsid w:val="00014B6C"/>
    <w:rsid w:val="00015801"/>
    <w:rsid w:val="00024016"/>
    <w:rsid w:val="00025802"/>
    <w:rsid w:val="00026150"/>
    <w:rsid w:val="000262CC"/>
    <w:rsid w:val="00026DDE"/>
    <w:rsid w:val="00027FF8"/>
    <w:rsid w:val="00030C69"/>
    <w:rsid w:val="00031C1B"/>
    <w:rsid w:val="00031E23"/>
    <w:rsid w:val="00032347"/>
    <w:rsid w:val="00035356"/>
    <w:rsid w:val="000357EC"/>
    <w:rsid w:val="00035EDC"/>
    <w:rsid w:val="0003721D"/>
    <w:rsid w:val="00040A50"/>
    <w:rsid w:val="000419E8"/>
    <w:rsid w:val="000431F6"/>
    <w:rsid w:val="00043AE9"/>
    <w:rsid w:val="000467CF"/>
    <w:rsid w:val="0005086D"/>
    <w:rsid w:val="000545A3"/>
    <w:rsid w:val="000547A2"/>
    <w:rsid w:val="000551C7"/>
    <w:rsid w:val="00055342"/>
    <w:rsid w:val="00056298"/>
    <w:rsid w:val="00056A09"/>
    <w:rsid w:val="000570E6"/>
    <w:rsid w:val="00057533"/>
    <w:rsid w:val="00060FF5"/>
    <w:rsid w:val="00061A49"/>
    <w:rsid w:val="000629E8"/>
    <w:rsid w:val="00063982"/>
    <w:rsid w:val="00065750"/>
    <w:rsid w:val="00067E83"/>
    <w:rsid w:val="000701F5"/>
    <w:rsid w:val="0007249D"/>
    <w:rsid w:val="00072632"/>
    <w:rsid w:val="0007409B"/>
    <w:rsid w:val="00074E53"/>
    <w:rsid w:val="00075B8D"/>
    <w:rsid w:val="000771CA"/>
    <w:rsid w:val="00077E5F"/>
    <w:rsid w:val="00081805"/>
    <w:rsid w:val="000831BF"/>
    <w:rsid w:val="000837FF"/>
    <w:rsid w:val="000839CD"/>
    <w:rsid w:val="000842FB"/>
    <w:rsid w:val="00084510"/>
    <w:rsid w:val="0009056C"/>
    <w:rsid w:val="000907B4"/>
    <w:rsid w:val="00090B8B"/>
    <w:rsid w:val="00091F0C"/>
    <w:rsid w:val="000941C0"/>
    <w:rsid w:val="00094B70"/>
    <w:rsid w:val="0009574D"/>
    <w:rsid w:val="00096D5F"/>
    <w:rsid w:val="000A0ABC"/>
    <w:rsid w:val="000A4AD6"/>
    <w:rsid w:val="000A5558"/>
    <w:rsid w:val="000A5FC4"/>
    <w:rsid w:val="000A6447"/>
    <w:rsid w:val="000A7AA0"/>
    <w:rsid w:val="000B4947"/>
    <w:rsid w:val="000B4D68"/>
    <w:rsid w:val="000B5D11"/>
    <w:rsid w:val="000C0C49"/>
    <w:rsid w:val="000C18CA"/>
    <w:rsid w:val="000C2090"/>
    <w:rsid w:val="000C23E5"/>
    <w:rsid w:val="000C25CF"/>
    <w:rsid w:val="000C2E22"/>
    <w:rsid w:val="000C4574"/>
    <w:rsid w:val="000D0198"/>
    <w:rsid w:val="000D069C"/>
    <w:rsid w:val="000D07EF"/>
    <w:rsid w:val="000D0913"/>
    <w:rsid w:val="000D2895"/>
    <w:rsid w:val="000D2D7D"/>
    <w:rsid w:val="000D415A"/>
    <w:rsid w:val="000D597C"/>
    <w:rsid w:val="000D5DE6"/>
    <w:rsid w:val="000D7D4D"/>
    <w:rsid w:val="000E03A6"/>
    <w:rsid w:val="000E0686"/>
    <w:rsid w:val="000E15D0"/>
    <w:rsid w:val="000E2E58"/>
    <w:rsid w:val="000E5771"/>
    <w:rsid w:val="000E6A23"/>
    <w:rsid w:val="000E777E"/>
    <w:rsid w:val="000E780D"/>
    <w:rsid w:val="000F13E2"/>
    <w:rsid w:val="000F3358"/>
    <w:rsid w:val="000F3936"/>
    <w:rsid w:val="000F46DA"/>
    <w:rsid w:val="000F5849"/>
    <w:rsid w:val="000F5BDE"/>
    <w:rsid w:val="000F5C01"/>
    <w:rsid w:val="000F62FE"/>
    <w:rsid w:val="000F7471"/>
    <w:rsid w:val="00100309"/>
    <w:rsid w:val="001006A4"/>
    <w:rsid w:val="00100A8D"/>
    <w:rsid w:val="00101851"/>
    <w:rsid w:val="00101ED1"/>
    <w:rsid w:val="00103EC2"/>
    <w:rsid w:val="00104818"/>
    <w:rsid w:val="0010529A"/>
    <w:rsid w:val="0010564E"/>
    <w:rsid w:val="00111BD5"/>
    <w:rsid w:val="00111BED"/>
    <w:rsid w:val="0011239F"/>
    <w:rsid w:val="00115ED5"/>
    <w:rsid w:val="00116AA8"/>
    <w:rsid w:val="00116F17"/>
    <w:rsid w:val="00117712"/>
    <w:rsid w:val="0012091D"/>
    <w:rsid w:val="00120D2D"/>
    <w:rsid w:val="001214A0"/>
    <w:rsid w:val="00122616"/>
    <w:rsid w:val="00123291"/>
    <w:rsid w:val="001235F2"/>
    <w:rsid w:val="00124763"/>
    <w:rsid w:val="0012776E"/>
    <w:rsid w:val="00127931"/>
    <w:rsid w:val="0013089D"/>
    <w:rsid w:val="00130A37"/>
    <w:rsid w:val="001335C0"/>
    <w:rsid w:val="00134139"/>
    <w:rsid w:val="00134D13"/>
    <w:rsid w:val="00140C7B"/>
    <w:rsid w:val="0014184A"/>
    <w:rsid w:val="00142444"/>
    <w:rsid w:val="00144067"/>
    <w:rsid w:val="001456FB"/>
    <w:rsid w:val="00147661"/>
    <w:rsid w:val="00147A07"/>
    <w:rsid w:val="001511AE"/>
    <w:rsid w:val="001543A8"/>
    <w:rsid w:val="00154D22"/>
    <w:rsid w:val="0015595F"/>
    <w:rsid w:val="00156F14"/>
    <w:rsid w:val="00161CDA"/>
    <w:rsid w:val="00162636"/>
    <w:rsid w:val="0016457D"/>
    <w:rsid w:val="001702E0"/>
    <w:rsid w:val="00174034"/>
    <w:rsid w:val="00174198"/>
    <w:rsid w:val="00174AE5"/>
    <w:rsid w:val="00176BA8"/>
    <w:rsid w:val="00180295"/>
    <w:rsid w:val="0018036C"/>
    <w:rsid w:val="0018056D"/>
    <w:rsid w:val="00182383"/>
    <w:rsid w:val="00182D14"/>
    <w:rsid w:val="00183567"/>
    <w:rsid w:val="00185C42"/>
    <w:rsid w:val="00187B5E"/>
    <w:rsid w:val="001903A4"/>
    <w:rsid w:val="00191470"/>
    <w:rsid w:val="0019223F"/>
    <w:rsid w:val="001923EE"/>
    <w:rsid w:val="00192544"/>
    <w:rsid w:val="0019259A"/>
    <w:rsid w:val="00193BF7"/>
    <w:rsid w:val="001949DA"/>
    <w:rsid w:val="00194ADF"/>
    <w:rsid w:val="00194FE8"/>
    <w:rsid w:val="001A0F77"/>
    <w:rsid w:val="001A1169"/>
    <w:rsid w:val="001A125C"/>
    <w:rsid w:val="001A370D"/>
    <w:rsid w:val="001A3B16"/>
    <w:rsid w:val="001A4B18"/>
    <w:rsid w:val="001B1ACE"/>
    <w:rsid w:val="001B2789"/>
    <w:rsid w:val="001B2DF0"/>
    <w:rsid w:val="001B4BA3"/>
    <w:rsid w:val="001B5334"/>
    <w:rsid w:val="001B5618"/>
    <w:rsid w:val="001B77B8"/>
    <w:rsid w:val="001B7B5D"/>
    <w:rsid w:val="001C0C0B"/>
    <w:rsid w:val="001C14D2"/>
    <w:rsid w:val="001C184E"/>
    <w:rsid w:val="001C1A47"/>
    <w:rsid w:val="001C2526"/>
    <w:rsid w:val="001C30BC"/>
    <w:rsid w:val="001C424A"/>
    <w:rsid w:val="001C599C"/>
    <w:rsid w:val="001C70E7"/>
    <w:rsid w:val="001C74F4"/>
    <w:rsid w:val="001C78FA"/>
    <w:rsid w:val="001D0679"/>
    <w:rsid w:val="001D10B7"/>
    <w:rsid w:val="001D128E"/>
    <w:rsid w:val="001D19D7"/>
    <w:rsid w:val="001D3220"/>
    <w:rsid w:val="001D4BD1"/>
    <w:rsid w:val="001D5D0C"/>
    <w:rsid w:val="001D5DF3"/>
    <w:rsid w:val="001D5DF5"/>
    <w:rsid w:val="001E19A4"/>
    <w:rsid w:val="001E2E77"/>
    <w:rsid w:val="001E4388"/>
    <w:rsid w:val="001E7E02"/>
    <w:rsid w:val="001F05A2"/>
    <w:rsid w:val="001F05D5"/>
    <w:rsid w:val="001F3041"/>
    <w:rsid w:val="001F3A44"/>
    <w:rsid w:val="001F4DDE"/>
    <w:rsid w:val="001F56A3"/>
    <w:rsid w:val="001F769A"/>
    <w:rsid w:val="001F76B5"/>
    <w:rsid w:val="002002AE"/>
    <w:rsid w:val="00201C51"/>
    <w:rsid w:val="00203287"/>
    <w:rsid w:val="002036D5"/>
    <w:rsid w:val="002038B1"/>
    <w:rsid w:val="00204BFC"/>
    <w:rsid w:val="00207A25"/>
    <w:rsid w:val="00211057"/>
    <w:rsid w:val="00212142"/>
    <w:rsid w:val="00212A43"/>
    <w:rsid w:val="002158A8"/>
    <w:rsid w:val="00216811"/>
    <w:rsid w:val="00217B3A"/>
    <w:rsid w:val="00222046"/>
    <w:rsid w:val="00224E3D"/>
    <w:rsid w:val="00225561"/>
    <w:rsid w:val="002304A5"/>
    <w:rsid w:val="00231468"/>
    <w:rsid w:val="002334FB"/>
    <w:rsid w:val="0023451B"/>
    <w:rsid w:val="00234580"/>
    <w:rsid w:val="00235795"/>
    <w:rsid w:val="002357BD"/>
    <w:rsid w:val="0024060E"/>
    <w:rsid w:val="002413E6"/>
    <w:rsid w:val="00241E7E"/>
    <w:rsid w:val="00242828"/>
    <w:rsid w:val="00242851"/>
    <w:rsid w:val="002520E7"/>
    <w:rsid w:val="002535FD"/>
    <w:rsid w:val="002549EA"/>
    <w:rsid w:val="002555D8"/>
    <w:rsid w:val="00255E87"/>
    <w:rsid w:val="00256BE8"/>
    <w:rsid w:val="00261895"/>
    <w:rsid w:val="0026317F"/>
    <w:rsid w:val="00263D1C"/>
    <w:rsid w:val="00266F70"/>
    <w:rsid w:val="002677DD"/>
    <w:rsid w:val="00267915"/>
    <w:rsid w:val="002702ED"/>
    <w:rsid w:val="00270461"/>
    <w:rsid w:val="00270DCC"/>
    <w:rsid w:val="00273857"/>
    <w:rsid w:val="00273E70"/>
    <w:rsid w:val="00274748"/>
    <w:rsid w:val="00274993"/>
    <w:rsid w:val="0027547E"/>
    <w:rsid w:val="0027664B"/>
    <w:rsid w:val="002772BE"/>
    <w:rsid w:val="00277629"/>
    <w:rsid w:val="00280D6A"/>
    <w:rsid w:val="00280F2C"/>
    <w:rsid w:val="00284687"/>
    <w:rsid w:val="0028481E"/>
    <w:rsid w:val="00286067"/>
    <w:rsid w:val="0028622B"/>
    <w:rsid w:val="00287C0C"/>
    <w:rsid w:val="00291052"/>
    <w:rsid w:val="00291AC2"/>
    <w:rsid w:val="00292B61"/>
    <w:rsid w:val="00294349"/>
    <w:rsid w:val="002957B3"/>
    <w:rsid w:val="0029616C"/>
    <w:rsid w:val="002A02C8"/>
    <w:rsid w:val="002A1390"/>
    <w:rsid w:val="002A172D"/>
    <w:rsid w:val="002A17A8"/>
    <w:rsid w:val="002A234D"/>
    <w:rsid w:val="002A591F"/>
    <w:rsid w:val="002A6001"/>
    <w:rsid w:val="002A673D"/>
    <w:rsid w:val="002A686D"/>
    <w:rsid w:val="002A6B44"/>
    <w:rsid w:val="002B1817"/>
    <w:rsid w:val="002B2E14"/>
    <w:rsid w:val="002B367F"/>
    <w:rsid w:val="002B49B3"/>
    <w:rsid w:val="002B4E48"/>
    <w:rsid w:val="002B603D"/>
    <w:rsid w:val="002B6189"/>
    <w:rsid w:val="002B7CAC"/>
    <w:rsid w:val="002C0F17"/>
    <w:rsid w:val="002C19A1"/>
    <w:rsid w:val="002C2B90"/>
    <w:rsid w:val="002C2C94"/>
    <w:rsid w:val="002C36CD"/>
    <w:rsid w:val="002C377B"/>
    <w:rsid w:val="002C398F"/>
    <w:rsid w:val="002C4EFC"/>
    <w:rsid w:val="002C53BF"/>
    <w:rsid w:val="002C5E96"/>
    <w:rsid w:val="002C7097"/>
    <w:rsid w:val="002C72E2"/>
    <w:rsid w:val="002D0BE5"/>
    <w:rsid w:val="002D1BE4"/>
    <w:rsid w:val="002D2409"/>
    <w:rsid w:val="002D4C59"/>
    <w:rsid w:val="002D59F5"/>
    <w:rsid w:val="002D5D6B"/>
    <w:rsid w:val="002D5EB8"/>
    <w:rsid w:val="002D6086"/>
    <w:rsid w:val="002D61F5"/>
    <w:rsid w:val="002E01D4"/>
    <w:rsid w:val="002E032C"/>
    <w:rsid w:val="002E0A74"/>
    <w:rsid w:val="002E12E4"/>
    <w:rsid w:val="002E1390"/>
    <w:rsid w:val="002E1C3A"/>
    <w:rsid w:val="002E21FE"/>
    <w:rsid w:val="002E2C7E"/>
    <w:rsid w:val="002E3B5B"/>
    <w:rsid w:val="002E4462"/>
    <w:rsid w:val="002E4CCD"/>
    <w:rsid w:val="002E576D"/>
    <w:rsid w:val="002E6BFE"/>
    <w:rsid w:val="002E6DD8"/>
    <w:rsid w:val="002F0A7F"/>
    <w:rsid w:val="002F0BAD"/>
    <w:rsid w:val="002F22BE"/>
    <w:rsid w:val="002F244C"/>
    <w:rsid w:val="002F4A3C"/>
    <w:rsid w:val="002F5C06"/>
    <w:rsid w:val="002F5F65"/>
    <w:rsid w:val="002F737E"/>
    <w:rsid w:val="00300C7F"/>
    <w:rsid w:val="003027CC"/>
    <w:rsid w:val="00304E0A"/>
    <w:rsid w:val="00305C86"/>
    <w:rsid w:val="0031023D"/>
    <w:rsid w:val="0031089B"/>
    <w:rsid w:val="00310C31"/>
    <w:rsid w:val="00312D62"/>
    <w:rsid w:val="003155B6"/>
    <w:rsid w:val="00316106"/>
    <w:rsid w:val="00317038"/>
    <w:rsid w:val="00317739"/>
    <w:rsid w:val="00317CAF"/>
    <w:rsid w:val="00320C5F"/>
    <w:rsid w:val="00320F41"/>
    <w:rsid w:val="00321474"/>
    <w:rsid w:val="00323D55"/>
    <w:rsid w:val="0033195B"/>
    <w:rsid w:val="00333790"/>
    <w:rsid w:val="00333B70"/>
    <w:rsid w:val="00335C25"/>
    <w:rsid w:val="003365B9"/>
    <w:rsid w:val="00340763"/>
    <w:rsid w:val="0034085D"/>
    <w:rsid w:val="00341B43"/>
    <w:rsid w:val="00342E74"/>
    <w:rsid w:val="00342F54"/>
    <w:rsid w:val="003434A4"/>
    <w:rsid w:val="00345FBD"/>
    <w:rsid w:val="00347E3A"/>
    <w:rsid w:val="00351356"/>
    <w:rsid w:val="00351424"/>
    <w:rsid w:val="00352BB9"/>
    <w:rsid w:val="00354B5D"/>
    <w:rsid w:val="003554DC"/>
    <w:rsid w:val="0035683F"/>
    <w:rsid w:val="003569A0"/>
    <w:rsid w:val="00361648"/>
    <w:rsid w:val="00361C92"/>
    <w:rsid w:val="003641CA"/>
    <w:rsid w:val="003647C0"/>
    <w:rsid w:val="003654D0"/>
    <w:rsid w:val="00366499"/>
    <w:rsid w:val="00366646"/>
    <w:rsid w:val="00370C71"/>
    <w:rsid w:val="00370F54"/>
    <w:rsid w:val="00371FED"/>
    <w:rsid w:val="00372C41"/>
    <w:rsid w:val="00374EBF"/>
    <w:rsid w:val="003751C2"/>
    <w:rsid w:val="003769E0"/>
    <w:rsid w:val="00376FDC"/>
    <w:rsid w:val="00377046"/>
    <w:rsid w:val="00377B7A"/>
    <w:rsid w:val="00377BB8"/>
    <w:rsid w:val="00381F1A"/>
    <w:rsid w:val="00383D20"/>
    <w:rsid w:val="00384C78"/>
    <w:rsid w:val="00390F32"/>
    <w:rsid w:val="0039138A"/>
    <w:rsid w:val="0039167D"/>
    <w:rsid w:val="0039283B"/>
    <w:rsid w:val="00393533"/>
    <w:rsid w:val="00393977"/>
    <w:rsid w:val="00394D11"/>
    <w:rsid w:val="00395828"/>
    <w:rsid w:val="00395DC9"/>
    <w:rsid w:val="003A090E"/>
    <w:rsid w:val="003A133F"/>
    <w:rsid w:val="003A143B"/>
    <w:rsid w:val="003A2332"/>
    <w:rsid w:val="003A3379"/>
    <w:rsid w:val="003A45CA"/>
    <w:rsid w:val="003A46D0"/>
    <w:rsid w:val="003A5CBF"/>
    <w:rsid w:val="003A6AA4"/>
    <w:rsid w:val="003A6E44"/>
    <w:rsid w:val="003B4E5C"/>
    <w:rsid w:val="003B5278"/>
    <w:rsid w:val="003B6EE7"/>
    <w:rsid w:val="003B6F5D"/>
    <w:rsid w:val="003B7586"/>
    <w:rsid w:val="003C0C7D"/>
    <w:rsid w:val="003C1D09"/>
    <w:rsid w:val="003C1E74"/>
    <w:rsid w:val="003C33A0"/>
    <w:rsid w:val="003C3817"/>
    <w:rsid w:val="003C3C4A"/>
    <w:rsid w:val="003C6C9C"/>
    <w:rsid w:val="003D0240"/>
    <w:rsid w:val="003D09B6"/>
    <w:rsid w:val="003D1698"/>
    <w:rsid w:val="003D2305"/>
    <w:rsid w:val="003D3E6F"/>
    <w:rsid w:val="003D5A98"/>
    <w:rsid w:val="003E2CFF"/>
    <w:rsid w:val="003E2DCD"/>
    <w:rsid w:val="003E301D"/>
    <w:rsid w:val="003E3300"/>
    <w:rsid w:val="003E3D2F"/>
    <w:rsid w:val="003E531F"/>
    <w:rsid w:val="003E5EBE"/>
    <w:rsid w:val="003E62B3"/>
    <w:rsid w:val="003E757C"/>
    <w:rsid w:val="003F0A38"/>
    <w:rsid w:val="003F238A"/>
    <w:rsid w:val="003F25D4"/>
    <w:rsid w:val="003F2907"/>
    <w:rsid w:val="003F2E2A"/>
    <w:rsid w:val="003F53C6"/>
    <w:rsid w:val="003F5ED5"/>
    <w:rsid w:val="003F6899"/>
    <w:rsid w:val="003F6951"/>
    <w:rsid w:val="004019A6"/>
    <w:rsid w:val="004022C0"/>
    <w:rsid w:val="00402EE9"/>
    <w:rsid w:val="004049DE"/>
    <w:rsid w:val="00407EEC"/>
    <w:rsid w:val="00411031"/>
    <w:rsid w:val="004114BE"/>
    <w:rsid w:val="0041188E"/>
    <w:rsid w:val="00412324"/>
    <w:rsid w:val="00412B2B"/>
    <w:rsid w:val="004136A4"/>
    <w:rsid w:val="004179DE"/>
    <w:rsid w:val="00420A8D"/>
    <w:rsid w:val="00421D7F"/>
    <w:rsid w:val="00422B9B"/>
    <w:rsid w:val="00426620"/>
    <w:rsid w:val="00426702"/>
    <w:rsid w:val="00426BA2"/>
    <w:rsid w:val="00426EA5"/>
    <w:rsid w:val="0042742E"/>
    <w:rsid w:val="004275BB"/>
    <w:rsid w:val="00427CBD"/>
    <w:rsid w:val="00433CC7"/>
    <w:rsid w:val="00436351"/>
    <w:rsid w:val="004370F0"/>
    <w:rsid w:val="00441E5D"/>
    <w:rsid w:val="00442710"/>
    <w:rsid w:val="004440CE"/>
    <w:rsid w:val="00444B47"/>
    <w:rsid w:val="0044638D"/>
    <w:rsid w:val="00447958"/>
    <w:rsid w:val="00453BDC"/>
    <w:rsid w:val="00453C05"/>
    <w:rsid w:val="00453DA5"/>
    <w:rsid w:val="004550BD"/>
    <w:rsid w:val="004600F5"/>
    <w:rsid w:val="00460D18"/>
    <w:rsid w:val="0046314B"/>
    <w:rsid w:val="004644B5"/>
    <w:rsid w:val="00465F28"/>
    <w:rsid w:val="0046638C"/>
    <w:rsid w:val="00466D91"/>
    <w:rsid w:val="00467BDB"/>
    <w:rsid w:val="00472008"/>
    <w:rsid w:val="00472976"/>
    <w:rsid w:val="00472BCD"/>
    <w:rsid w:val="00472ED5"/>
    <w:rsid w:val="0047367C"/>
    <w:rsid w:val="00473877"/>
    <w:rsid w:val="00474F18"/>
    <w:rsid w:val="00474FDD"/>
    <w:rsid w:val="004760B0"/>
    <w:rsid w:val="00477958"/>
    <w:rsid w:val="00480369"/>
    <w:rsid w:val="00482761"/>
    <w:rsid w:val="00484C31"/>
    <w:rsid w:val="00484DE3"/>
    <w:rsid w:val="004858C1"/>
    <w:rsid w:val="00485B47"/>
    <w:rsid w:val="0048648A"/>
    <w:rsid w:val="00487637"/>
    <w:rsid w:val="0049017B"/>
    <w:rsid w:val="004901EE"/>
    <w:rsid w:val="0049091B"/>
    <w:rsid w:val="00490CF4"/>
    <w:rsid w:val="004915F2"/>
    <w:rsid w:val="00491C8C"/>
    <w:rsid w:val="00492099"/>
    <w:rsid w:val="0049281D"/>
    <w:rsid w:val="00495AE4"/>
    <w:rsid w:val="00496BE3"/>
    <w:rsid w:val="00496D73"/>
    <w:rsid w:val="00497916"/>
    <w:rsid w:val="004A0314"/>
    <w:rsid w:val="004A3347"/>
    <w:rsid w:val="004A3666"/>
    <w:rsid w:val="004A366A"/>
    <w:rsid w:val="004B09A8"/>
    <w:rsid w:val="004B0CF6"/>
    <w:rsid w:val="004B27C5"/>
    <w:rsid w:val="004B444D"/>
    <w:rsid w:val="004B485D"/>
    <w:rsid w:val="004B4E4B"/>
    <w:rsid w:val="004B50E6"/>
    <w:rsid w:val="004C0403"/>
    <w:rsid w:val="004C11EB"/>
    <w:rsid w:val="004C3ACB"/>
    <w:rsid w:val="004C41A0"/>
    <w:rsid w:val="004C41C4"/>
    <w:rsid w:val="004C50C7"/>
    <w:rsid w:val="004C60CA"/>
    <w:rsid w:val="004C643C"/>
    <w:rsid w:val="004C748A"/>
    <w:rsid w:val="004D0030"/>
    <w:rsid w:val="004D270F"/>
    <w:rsid w:val="004D27DB"/>
    <w:rsid w:val="004D3231"/>
    <w:rsid w:val="004D51AC"/>
    <w:rsid w:val="004D5F55"/>
    <w:rsid w:val="004D6007"/>
    <w:rsid w:val="004E0287"/>
    <w:rsid w:val="004E069C"/>
    <w:rsid w:val="004E09BA"/>
    <w:rsid w:val="004E1A91"/>
    <w:rsid w:val="004E2496"/>
    <w:rsid w:val="004E2A01"/>
    <w:rsid w:val="004E2E87"/>
    <w:rsid w:val="004E4A44"/>
    <w:rsid w:val="004E6C9B"/>
    <w:rsid w:val="004E7F59"/>
    <w:rsid w:val="004E7F96"/>
    <w:rsid w:val="004F233F"/>
    <w:rsid w:val="004F48C0"/>
    <w:rsid w:val="004F4C98"/>
    <w:rsid w:val="004F5DE6"/>
    <w:rsid w:val="004F5DF5"/>
    <w:rsid w:val="004F7FF7"/>
    <w:rsid w:val="00503BE1"/>
    <w:rsid w:val="005045B7"/>
    <w:rsid w:val="005052A9"/>
    <w:rsid w:val="00505428"/>
    <w:rsid w:val="00506718"/>
    <w:rsid w:val="00506A43"/>
    <w:rsid w:val="005070CD"/>
    <w:rsid w:val="0050732F"/>
    <w:rsid w:val="005075A8"/>
    <w:rsid w:val="00507868"/>
    <w:rsid w:val="005105F3"/>
    <w:rsid w:val="0051069C"/>
    <w:rsid w:val="00510840"/>
    <w:rsid w:val="00511547"/>
    <w:rsid w:val="005116C5"/>
    <w:rsid w:val="00516355"/>
    <w:rsid w:val="0052061C"/>
    <w:rsid w:val="00520A9D"/>
    <w:rsid w:val="00521C42"/>
    <w:rsid w:val="0052215C"/>
    <w:rsid w:val="005222EF"/>
    <w:rsid w:val="005244E1"/>
    <w:rsid w:val="00524930"/>
    <w:rsid w:val="00524BC6"/>
    <w:rsid w:val="0052637B"/>
    <w:rsid w:val="00527A13"/>
    <w:rsid w:val="005316A2"/>
    <w:rsid w:val="0053177F"/>
    <w:rsid w:val="005337EB"/>
    <w:rsid w:val="005339E4"/>
    <w:rsid w:val="00535C83"/>
    <w:rsid w:val="005379AC"/>
    <w:rsid w:val="00537F95"/>
    <w:rsid w:val="00543B1A"/>
    <w:rsid w:val="00544C1E"/>
    <w:rsid w:val="005450C4"/>
    <w:rsid w:val="005457CA"/>
    <w:rsid w:val="00547435"/>
    <w:rsid w:val="005535F2"/>
    <w:rsid w:val="00555DEA"/>
    <w:rsid w:val="0055668A"/>
    <w:rsid w:val="00556F1E"/>
    <w:rsid w:val="005573BF"/>
    <w:rsid w:val="00557484"/>
    <w:rsid w:val="00557CB7"/>
    <w:rsid w:val="00557DC6"/>
    <w:rsid w:val="00561230"/>
    <w:rsid w:val="00562211"/>
    <w:rsid w:val="00562800"/>
    <w:rsid w:val="00562EEB"/>
    <w:rsid w:val="00563858"/>
    <w:rsid w:val="00564EFD"/>
    <w:rsid w:val="00565A29"/>
    <w:rsid w:val="00567B31"/>
    <w:rsid w:val="005700AB"/>
    <w:rsid w:val="00575839"/>
    <w:rsid w:val="00575FD4"/>
    <w:rsid w:val="00576854"/>
    <w:rsid w:val="00580516"/>
    <w:rsid w:val="005815DE"/>
    <w:rsid w:val="00581A6E"/>
    <w:rsid w:val="00582CC3"/>
    <w:rsid w:val="005830F9"/>
    <w:rsid w:val="00584946"/>
    <w:rsid w:val="0058615C"/>
    <w:rsid w:val="005861E8"/>
    <w:rsid w:val="00590306"/>
    <w:rsid w:val="00590C0F"/>
    <w:rsid w:val="00591724"/>
    <w:rsid w:val="00592771"/>
    <w:rsid w:val="00593403"/>
    <w:rsid w:val="00593453"/>
    <w:rsid w:val="005952ED"/>
    <w:rsid w:val="0059597A"/>
    <w:rsid w:val="0059668E"/>
    <w:rsid w:val="00596C72"/>
    <w:rsid w:val="00597609"/>
    <w:rsid w:val="00597C65"/>
    <w:rsid w:val="005A07A2"/>
    <w:rsid w:val="005A0A0C"/>
    <w:rsid w:val="005A13DE"/>
    <w:rsid w:val="005A19B0"/>
    <w:rsid w:val="005A1E5A"/>
    <w:rsid w:val="005A40B7"/>
    <w:rsid w:val="005A59B8"/>
    <w:rsid w:val="005A6368"/>
    <w:rsid w:val="005A6C1B"/>
    <w:rsid w:val="005A6E57"/>
    <w:rsid w:val="005A6E74"/>
    <w:rsid w:val="005A763D"/>
    <w:rsid w:val="005B18D4"/>
    <w:rsid w:val="005B1CE3"/>
    <w:rsid w:val="005B2852"/>
    <w:rsid w:val="005B4059"/>
    <w:rsid w:val="005B45B6"/>
    <w:rsid w:val="005B4F96"/>
    <w:rsid w:val="005C01BD"/>
    <w:rsid w:val="005C0269"/>
    <w:rsid w:val="005C157A"/>
    <w:rsid w:val="005C33A1"/>
    <w:rsid w:val="005C3B2A"/>
    <w:rsid w:val="005C3DCA"/>
    <w:rsid w:val="005C4B45"/>
    <w:rsid w:val="005C4D08"/>
    <w:rsid w:val="005C5414"/>
    <w:rsid w:val="005C5C81"/>
    <w:rsid w:val="005C5C97"/>
    <w:rsid w:val="005D00F5"/>
    <w:rsid w:val="005D0964"/>
    <w:rsid w:val="005D0ADB"/>
    <w:rsid w:val="005D29CB"/>
    <w:rsid w:val="005D36F5"/>
    <w:rsid w:val="005D4BA0"/>
    <w:rsid w:val="005D4DE6"/>
    <w:rsid w:val="005D7DB9"/>
    <w:rsid w:val="005E103B"/>
    <w:rsid w:val="005E4230"/>
    <w:rsid w:val="005E4325"/>
    <w:rsid w:val="005E4A33"/>
    <w:rsid w:val="005E5E6B"/>
    <w:rsid w:val="005F087B"/>
    <w:rsid w:val="005F2814"/>
    <w:rsid w:val="005F2AAF"/>
    <w:rsid w:val="005F3260"/>
    <w:rsid w:val="005F4350"/>
    <w:rsid w:val="005F6335"/>
    <w:rsid w:val="005F6352"/>
    <w:rsid w:val="005F7B80"/>
    <w:rsid w:val="0060050C"/>
    <w:rsid w:val="00602A12"/>
    <w:rsid w:val="00603D02"/>
    <w:rsid w:val="006046FB"/>
    <w:rsid w:val="006048A9"/>
    <w:rsid w:val="00604B0C"/>
    <w:rsid w:val="0060586D"/>
    <w:rsid w:val="0060749B"/>
    <w:rsid w:val="00610068"/>
    <w:rsid w:val="00611326"/>
    <w:rsid w:val="00611FB4"/>
    <w:rsid w:val="00613E8B"/>
    <w:rsid w:val="00614D5B"/>
    <w:rsid w:val="0061652F"/>
    <w:rsid w:val="0062013A"/>
    <w:rsid w:val="006207A9"/>
    <w:rsid w:val="006212A7"/>
    <w:rsid w:val="00622BD8"/>
    <w:rsid w:val="00624162"/>
    <w:rsid w:val="00624365"/>
    <w:rsid w:val="006247CD"/>
    <w:rsid w:val="006250B9"/>
    <w:rsid w:val="00631129"/>
    <w:rsid w:val="00631220"/>
    <w:rsid w:val="00631380"/>
    <w:rsid w:val="006333DD"/>
    <w:rsid w:val="00635AE8"/>
    <w:rsid w:val="00636249"/>
    <w:rsid w:val="00636CAB"/>
    <w:rsid w:val="0064006C"/>
    <w:rsid w:val="00642554"/>
    <w:rsid w:val="00642896"/>
    <w:rsid w:val="00644CC0"/>
    <w:rsid w:val="00645E8A"/>
    <w:rsid w:val="0064654F"/>
    <w:rsid w:val="00650C52"/>
    <w:rsid w:val="006515CC"/>
    <w:rsid w:val="0065215C"/>
    <w:rsid w:val="00652E56"/>
    <w:rsid w:val="00653002"/>
    <w:rsid w:val="00655E0D"/>
    <w:rsid w:val="00655F0B"/>
    <w:rsid w:val="006569C2"/>
    <w:rsid w:val="00657AFB"/>
    <w:rsid w:val="00660877"/>
    <w:rsid w:val="00662038"/>
    <w:rsid w:val="006624BB"/>
    <w:rsid w:val="006630AF"/>
    <w:rsid w:val="00663D5F"/>
    <w:rsid w:val="006649B0"/>
    <w:rsid w:val="00665792"/>
    <w:rsid w:val="006665D3"/>
    <w:rsid w:val="00671252"/>
    <w:rsid w:val="00671915"/>
    <w:rsid w:val="006720F7"/>
    <w:rsid w:val="00672C03"/>
    <w:rsid w:val="00672E59"/>
    <w:rsid w:val="00673C12"/>
    <w:rsid w:val="006744CE"/>
    <w:rsid w:val="006758E5"/>
    <w:rsid w:val="00676227"/>
    <w:rsid w:val="006801E3"/>
    <w:rsid w:val="00681131"/>
    <w:rsid w:val="006823ED"/>
    <w:rsid w:val="00682A48"/>
    <w:rsid w:val="00683206"/>
    <w:rsid w:val="00683F53"/>
    <w:rsid w:val="0068415D"/>
    <w:rsid w:val="006855A4"/>
    <w:rsid w:val="00692C41"/>
    <w:rsid w:val="006931E5"/>
    <w:rsid w:val="0069350D"/>
    <w:rsid w:val="006952D8"/>
    <w:rsid w:val="00696860"/>
    <w:rsid w:val="006A0F94"/>
    <w:rsid w:val="006A197B"/>
    <w:rsid w:val="006A22B5"/>
    <w:rsid w:val="006A2452"/>
    <w:rsid w:val="006A3723"/>
    <w:rsid w:val="006A3E72"/>
    <w:rsid w:val="006A4C9B"/>
    <w:rsid w:val="006A53DE"/>
    <w:rsid w:val="006A5CDD"/>
    <w:rsid w:val="006A5F02"/>
    <w:rsid w:val="006A699A"/>
    <w:rsid w:val="006A6D56"/>
    <w:rsid w:val="006A7E54"/>
    <w:rsid w:val="006B0BB0"/>
    <w:rsid w:val="006B15C2"/>
    <w:rsid w:val="006B15E6"/>
    <w:rsid w:val="006B250F"/>
    <w:rsid w:val="006B252B"/>
    <w:rsid w:val="006B4822"/>
    <w:rsid w:val="006B5A3B"/>
    <w:rsid w:val="006B66F0"/>
    <w:rsid w:val="006B7ECB"/>
    <w:rsid w:val="006C0770"/>
    <w:rsid w:val="006C0DD0"/>
    <w:rsid w:val="006C0FFA"/>
    <w:rsid w:val="006C1C1A"/>
    <w:rsid w:val="006C20A9"/>
    <w:rsid w:val="006C266D"/>
    <w:rsid w:val="006C3F8D"/>
    <w:rsid w:val="006C4CB5"/>
    <w:rsid w:val="006C6CBA"/>
    <w:rsid w:val="006D213F"/>
    <w:rsid w:val="006D2E93"/>
    <w:rsid w:val="006D3532"/>
    <w:rsid w:val="006D42CE"/>
    <w:rsid w:val="006D4F11"/>
    <w:rsid w:val="006D5FD9"/>
    <w:rsid w:val="006D66C3"/>
    <w:rsid w:val="006D70D8"/>
    <w:rsid w:val="006D7E26"/>
    <w:rsid w:val="006D7EF5"/>
    <w:rsid w:val="006E047F"/>
    <w:rsid w:val="006E108F"/>
    <w:rsid w:val="006E2592"/>
    <w:rsid w:val="006E2C25"/>
    <w:rsid w:val="006E2FDA"/>
    <w:rsid w:val="006E4AA6"/>
    <w:rsid w:val="006E57E0"/>
    <w:rsid w:val="006E5D47"/>
    <w:rsid w:val="006E7450"/>
    <w:rsid w:val="006F14AD"/>
    <w:rsid w:val="006F1FFF"/>
    <w:rsid w:val="006F4D6D"/>
    <w:rsid w:val="006F5032"/>
    <w:rsid w:val="006F6A0E"/>
    <w:rsid w:val="006F6BBB"/>
    <w:rsid w:val="006F7A5F"/>
    <w:rsid w:val="00701050"/>
    <w:rsid w:val="0070543E"/>
    <w:rsid w:val="007058A5"/>
    <w:rsid w:val="00705E70"/>
    <w:rsid w:val="00710EB2"/>
    <w:rsid w:val="0071169D"/>
    <w:rsid w:val="00712D68"/>
    <w:rsid w:val="0071397B"/>
    <w:rsid w:val="00713AD0"/>
    <w:rsid w:val="00714BA4"/>
    <w:rsid w:val="00715CF8"/>
    <w:rsid w:val="00716AA0"/>
    <w:rsid w:val="007219CE"/>
    <w:rsid w:val="00721A48"/>
    <w:rsid w:val="00721E6D"/>
    <w:rsid w:val="00722887"/>
    <w:rsid w:val="007236D9"/>
    <w:rsid w:val="007249AF"/>
    <w:rsid w:val="00725470"/>
    <w:rsid w:val="0072799E"/>
    <w:rsid w:val="00727AE8"/>
    <w:rsid w:val="00727D49"/>
    <w:rsid w:val="007302C7"/>
    <w:rsid w:val="00730D4C"/>
    <w:rsid w:val="00731876"/>
    <w:rsid w:val="00731FA7"/>
    <w:rsid w:val="00732144"/>
    <w:rsid w:val="007321F1"/>
    <w:rsid w:val="00733547"/>
    <w:rsid w:val="00734DC7"/>
    <w:rsid w:val="007365C3"/>
    <w:rsid w:val="007371C8"/>
    <w:rsid w:val="0074187C"/>
    <w:rsid w:val="007420B1"/>
    <w:rsid w:val="00742136"/>
    <w:rsid w:val="00742645"/>
    <w:rsid w:val="007461D6"/>
    <w:rsid w:val="00747366"/>
    <w:rsid w:val="00747679"/>
    <w:rsid w:val="0074778E"/>
    <w:rsid w:val="00747B8B"/>
    <w:rsid w:val="00750E62"/>
    <w:rsid w:val="00751363"/>
    <w:rsid w:val="00751847"/>
    <w:rsid w:val="00751DEF"/>
    <w:rsid w:val="007544D9"/>
    <w:rsid w:val="007554C4"/>
    <w:rsid w:val="00756D5C"/>
    <w:rsid w:val="00757EF7"/>
    <w:rsid w:val="00760759"/>
    <w:rsid w:val="00762527"/>
    <w:rsid w:val="00765737"/>
    <w:rsid w:val="0076649D"/>
    <w:rsid w:val="00770806"/>
    <w:rsid w:val="0077260D"/>
    <w:rsid w:val="00772DA2"/>
    <w:rsid w:val="0077407B"/>
    <w:rsid w:val="00774CB4"/>
    <w:rsid w:val="00776490"/>
    <w:rsid w:val="007815D3"/>
    <w:rsid w:val="00781CEB"/>
    <w:rsid w:val="00783AC6"/>
    <w:rsid w:val="00784496"/>
    <w:rsid w:val="007846E2"/>
    <w:rsid w:val="00784892"/>
    <w:rsid w:val="00784C99"/>
    <w:rsid w:val="00785C9E"/>
    <w:rsid w:val="00786BA3"/>
    <w:rsid w:val="007873F4"/>
    <w:rsid w:val="00790C73"/>
    <w:rsid w:val="007916A1"/>
    <w:rsid w:val="00791EF6"/>
    <w:rsid w:val="00792A4A"/>
    <w:rsid w:val="007934AD"/>
    <w:rsid w:val="00794859"/>
    <w:rsid w:val="007956DF"/>
    <w:rsid w:val="00795C2B"/>
    <w:rsid w:val="00797372"/>
    <w:rsid w:val="007A1737"/>
    <w:rsid w:val="007A2A17"/>
    <w:rsid w:val="007A2C84"/>
    <w:rsid w:val="007A2F54"/>
    <w:rsid w:val="007A452E"/>
    <w:rsid w:val="007A6014"/>
    <w:rsid w:val="007A6C60"/>
    <w:rsid w:val="007A7F6A"/>
    <w:rsid w:val="007B060D"/>
    <w:rsid w:val="007B1455"/>
    <w:rsid w:val="007B325B"/>
    <w:rsid w:val="007B4142"/>
    <w:rsid w:val="007B4570"/>
    <w:rsid w:val="007B5F71"/>
    <w:rsid w:val="007C020C"/>
    <w:rsid w:val="007C1005"/>
    <w:rsid w:val="007C3328"/>
    <w:rsid w:val="007C33CF"/>
    <w:rsid w:val="007C717F"/>
    <w:rsid w:val="007C7831"/>
    <w:rsid w:val="007C7896"/>
    <w:rsid w:val="007D04E1"/>
    <w:rsid w:val="007D0E76"/>
    <w:rsid w:val="007D3912"/>
    <w:rsid w:val="007D75FE"/>
    <w:rsid w:val="007D7868"/>
    <w:rsid w:val="007D79AF"/>
    <w:rsid w:val="007E2370"/>
    <w:rsid w:val="007E4C08"/>
    <w:rsid w:val="007E569C"/>
    <w:rsid w:val="007E6E62"/>
    <w:rsid w:val="007E7AC7"/>
    <w:rsid w:val="007F03FE"/>
    <w:rsid w:val="007F1777"/>
    <w:rsid w:val="007F3C32"/>
    <w:rsid w:val="007F3F0A"/>
    <w:rsid w:val="007F5AD2"/>
    <w:rsid w:val="007F617B"/>
    <w:rsid w:val="007F6D10"/>
    <w:rsid w:val="00801F70"/>
    <w:rsid w:val="008030D6"/>
    <w:rsid w:val="008030FA"/>
    <w:rsid w:val="00803351"/>
    <w:rsid w:val="0080401F"/>
    <w:rsid w:val="00805ECE"/>
    <w:rsid w:val="00807340"/>
    <w:rsid w:val="00807FE7"/>
    <w:rsid w:val="00810FC1"/>
    <w:rsid w:val="008127BC"/>
    <w:rsid w:val="0081332F"/>
    <w:rsid w:val="00813AFC"/>
    <w:rsid w:val="00816368"/>
    <w:rsid w:val="008214F7"/>
    <w:rsid w:val="008230EA"/>
    <w:rsid w:val="00823B3E"/>
    <w:rsid w:val="00823E59"/>
    <w:rsid w:val="00825DBF"/>
    <w:rsid w:val="00830BC3"/>
    <w:rsid w:val="00833351"/>
    <w:rsid w:val="00833543"/>
    <w:rsid w:val="00833DFC"/>
    <w:rsid w:val="00835783"/>
    <w:rsid w:val="00840AE8"/>
    <w:rsid w:val="008436B4"/>
    <w:rsid w:val="00844F26"/>
    <w:rsid w:val="008473DE"/>
    <w:rsid w:val="0085264F"/>
    <w:rsid w:val="00853AA8"/>
    <w:rsid w:val="00854A03"/>
    <w:rsid w:val="008552B9"/>
    <w:rsid w:val="008558AC"/>
    <w:rsid w:val="008558E8"/>
    <w:rsid w:val="0085703A"/>
    <w:rsid w:val="00857C8A"/>
    <w:rsid w:val="008600C1"/>
    <w:rsid w:val="00863DC8"/>
    <w:rsid w:val="00864499"/>
    <w:rsid w:val="008676D0"/>
    <w:rsid w:val="00867989"/>
    <w:rsid w:val="0087067D"/>
    <w:rsid w:val="008706F5"/>
    <w:rsid w:val="00870886"/>
    <w:rsid w:val="00871445"/>
    <w:rsid w:val="008738DC"/>
    <w:rsid w:val="008741E1"/>
    <w:rsid w:val="008753B6"/>
    <w:rsid w:val="00877F03"/>
    <w:rsid w:val="0088026C"/>
    <w:rsid w:val="00881DA6"/>
    <w:rsid w:val="0088258B"/>
    <w:rsid w:val="00882E10"/>
    <w:rsid w:val="00884211"/>
    <w:rsid w:val="00884267"/>
    <w:rsid w:val="00885369"/>
    <w:rsid w:val="00885605"/>
    <w:rsid w:val="00890721"/>
    <w:rsid w:val="00890929"/>
    <w:rsid w:val="00891047"/>
    <w:rsid w:val="00894835"/>
    <w:rsid w:val="00894B51"/>
    <w:rsid w:val="00895841"/>
    <w:rsid w:val="00895891"/>
    <w:rsid w:val="00895B3E"/>
    <w:rsid w:val="00896485"/>
    <w:rsid w:val="0089758C"/>
    <w:rsid w:val="008A1836"/>
    <w:rsid w:val="008A3476"/>
    <w:rsid w:val="008A3495"/>
    <w:rsid w:val="008A3D5B"/>
    <w:rsid w:val="008A4555"/>
    <w:rsid w:val="008A5F83"/>
    <w:rsid w:val="008A63A2"/>
    <w:rsid w:val="008A6A07"/>
    <w:rsid w:val="008A7F1D"/>
    <w:rsid w:val="008B01AE"/>
    <w:rsid w:val="008B024E"/>
    <w:rsid w:val="008B0A5A"/>
    <w:rsid w:val="008B2B7D"/>
    <w:rsid w:val="008B3B9F"/>
    <w:rsid w:val="008B43EA"/>
    <w:rsid w:val="008B51DA"/>
    <w:rsid w:val="008B6755"/>
    <w:rsid w:val="008C052F"/>
    <w:rsid w:val="008C1C3C"/>
    <w:rsid w:val="008C32E3"/>
    <w:rsid w:val="008C3539"/>
    <w:rsid w:val="008C363F"/>
    <w:rsid w:val="008C38CE"/>
    <w:rsid w:val="008C3C05"/>
    <w:rsid w:val="008C5A17"/>
    <w:rsid w:val="008C73F4"/>
    <w:rsid w:val="008D2549"/>
    <w:rsid w:val="008D261F"/>
    <w:rsid w:val="008D3243"/>
    <w:rsid w:val="008D3FFB"/>
    <w:rsid w:val="008D4061"/>
    <w:rsid w:val="008D510C"/>
    <w:rsid w:val="008D58AD"/>
    <w:rsid w:val="008D76A9"/>
    <w:rsid w:val="008D791D"/>
    <w:rsid w:val="008E294E"/>
    <w:rsid w:val="008E2D2D"/>
    <w:rsid w:val="008E33EC"/>
    <w:rsid w:val="008E5886"/>
    <w:rsid w:val="008F0862"/>
    <w:rsid w:val="008F207C"/>
    <w:rsid w:val="008F357B"/>
    <w:rsid w:val="008F37CF"/>
    <w:rsid w:val="008F3D03"/>
    <w:rsid w:val="008F4F7F"/>
    <w:rsid w:val="008F5DF8"/>
    <w:rsid w:val="008F61B3"/>
    <w:rsid w:val="008F6687"/>
    <w:rsid w:val="008F71F1"/>
    <w:rsid w:val="008F73AF"/>
    <w:rsid w:val="009009EE"/>
    <w:rsid w:val="00901334"/>
    <w:rsid w:val="00901856"/>
    <w:rsid w:val="00901DDA"/>
    <w:rsid w:val="00902C90"/>
    <w:rsid w:val="00902EFF"/>
    <w:rsid w:val="009037B6"/>
    <w:rsid w:val="00904042"/>
    <w:rsid w:val="009051AF"/>
    <w:rsid w:val="00906762"/>
    <w:rsid w:val="00906A89"/>
    <w:rsid w:val="009115CF"/>
    <w:rsid w:val="00912925"/>
    <w:rsid w:val="00913A44"/>
    <w:rsid w:val="009146CE"/>
    <w:rsid w:val="00914BFE"/>
    <w:rsid w:val="00914EA2"/>
    <w:rsid w:val="0091504D"/>
    <w:rsid w:val="00915AB3"/>
    <w:rsid w:val="00917BBF"/>
    <w:rsid w:val="00922214"/>
    <w:rsid w:val="0092303E"/>
    <w:rsid w:val="00923D56"/>
    <w:rsid w:val="00924309"/>
    <w:rsid w:val="0092672F"/>
    <w:rsid w:val="00930896"/>
    <w:rsid w:val="0093324F"/>
    <w:rsid w:val="009379FB"/>
    <w:rsid w:val="00940206"/>
    <w:rsid w:val="00941C44"/>
    <w:rsid w:val="00942F4B"/>
    <w:rsid w:val="0094643D"/>
    <w:rsid w:val="00946552"/>
    <w:rsid w:val="0094701A"/>
    <w:rsid w:val="00952A2D"/>
    <w:rsid w:val="00954E93"/>
    <w:rsid w:val="0095523A"/>
    <w:rsid w:val="009556A3"/>
    <w:rsid w:val="0095773A"/>
    <w:rsid w:val="009620CF"/>
    <w:rsid w:val="00963C56"/>
    <w:rsid w:val="00963E9F"/>
    <w:rsid w:val="00964CCF"/>
    <w:rsid w:val="0096599F"/>
    <w:rsid w:val="00965E89"/>
    <w:rsid w:val="009662B3"/>
    <w:rsid w:val="00966614"/>
    <w:rsid w:val="00966933"/>
    <w:rsid w:val="009675D7"/>
    <w:rsid w:val="00975CB3"/>
    <w:rsid w:val="0097704F"/>
    <w:rsid w:val="0098051C"/>
    <w:rsid w:val="00980FF3"/>
    <w:rsid w:val="00982F56"/>
    <w:rsid w:val="009836EF"/>
    <w:rsid w:val="00983F99"/>
    <w:rsid w:val="00984088"/>
    <w:rsid w:val="00984FAE"/>
    <w:rsid w:val="009861D1"/>
    <w:rsid w:val="00986A68"/>
    <w:rsid w:val="009927D2"/>
    <w:rsid w:val="00994030"/>
    <w:rsid w:val="0099539A"/>
    <w:rsid w:val="00995708"/>
    <w:rsid w:val="00996F03"/>
    <w:rsid w:val="009A4A00"/>
    <w:rsid w:val="009A6182"/>
    <w:rsid w:val="009A68F1"/>
    <w:rsid w:val="009B1685"/>
    <w:rsid w:val="009B1B08"/>
    <w:rsid w:val="009B1D70"/>
    <w:rsid w:val="009B2822"/>
    <w:rsid w:val="009B2EB9"/>
    <w:rsid w:val="009B44FE"/>
    <w:rsid w:val="009B520F"/>
    <w:rsid w:val="009B5523"/>
    <w:rsid w:val="009B5683"/>
    <w:rsid w:val="009B5985"/>
    <w:rsid w:val="009B62BE"/>
    <w:rsid w:val="009C01B3"/>
    <w:rsid w:val="009C13B5"/>
    <w:rsid w:val="009C286E"/>
    <w:rsid w:val="009C3B0D"/>
    <w:rsid w:val="009C6A5E"/>
    <w:rsid w:val="009D0AF2"/>
    <w:rsid w:val="009D437E"/>
    <w:rsid w:val="009D546A"/>
    <w:rsid w:val="009D5BB4"/>
    <w:rsid w:val="009D654F"/>
    <w:rsid w:val="009E08F7"/>
    <w:rsid w:val="009E18CE"/>
    <w:rsid w:val="009E1CFA"/>
    <w:rsid w:val="009E1E02"/>
    <w:rsid w:val="009E29C7"/>
    <w:rsid w:val="009E2ECE"/>
    <w:rsid w:val="009E5352"/>
    <w:rsid w:val="009E6AA3"/>
    <w:rsid w:val="009E6AE8"/>
    <w:rsid w:val="009E7152"/>
    <w:rsid w:val="009F3F7D"/>
    <w:rsid w:val="009F6C28"/>
    <w:rsid w:val="009F7001"/>
    <w:rsid w:val="00A00D38"/>
    <w:rsid w:val="00A02723"/>
    <w:rsid w:val="00A02A49"/>
    <w:rsid w:val="00A05E01"/>
    <w:rsid w:val="00A05F23"/>
    <w:rsid w:val="00A107CA"/>
    <w:rsid w:val="00A10D82"/>
    <w:rsid w:val="00A1285C"/>
    <w:rsid w:val="00A12EC8"/>
    <w:rsid w:val="00A1335D"/>
    <w:rsid w:val="00A140D8"/>
    <w:rsid w:val="00A1449E"/>
    <w:rsid w:val="00A165ED"/>
    <w:rsid w:val="00A16FB0"/>
    <w:rsid w:val="00A17694"/>
    <w:rsid w:val="00A20305"/>
    <w:rsid w:val="00A20456"/>
    <w:rsid w:val="00A20EE7"/>
    <w:rsid w:val="00A22316"/>
    <w:rsid w:val="00A23206"/>
    <w:rsid w:val="00A239C0"/>
    <w:rsid w:val="00A23DE6"/>
    <w:rsid w:val="00A25864"/>
    <w:rsid w:val="00A261FB"/>
    <w:rsid w:val="00A26EA4"/>
    <w:rsid w:val="00A27060"/>
    <w:rsid w:val="00A27A1C"/>
    <w:rsid w:val="00A27E96"/>
    <w:rsid w:val="00A3019E"/>
    <w:rsid w:val="00A30BDB"/>
    <w:rsid w:val="00A310FB"/>
    <w:rsid w:val="00A32570"/>
    <w:rsid w:val="00A32BDF"/>
    <w:rsid w:val="00A33D94"/>
    <w:rsid w:val="00A3465F"/>
    <w:rsid w:val="00A35D64"/>
    <w:rsid w:val="00A40067"/>
    <w:rsid w:val="00A41072"/>
    <w:rsid w:val="00A423D1"/>
    <w:rsid w:val="00A43213"/>
    <w:rsid w:val="00A43538"/>
    <w:rsid w:val="00A43B29"/>
    <w:rsid w:val="00A454F8"/>
    <w:rsid w:val="00A45636"/>
    <w:rsid w:val="00A46868"/>
    <w:rsid w:val="00A46B06"/>
    <w:rsid w:val="00A47E18"/>
    <w:rsid w:val="00A47EF1"/>
    <w:rsid w:val="00A5025B"/>
    <w:rsid w:val="00A51081"/>
    <w:rsid w:val="00A51F7A"/>
    <w:rsid w:val="00A52510"/>
    <w:rsid w:val="00A53495"/>
    <w:rsid w:val="00A53801"/>
    <w:rsid w:val="00A57867"/>
    <w:rsid w:val="00A604A8"/>
    <w:rsid w:val="00A60B95"/>
    <w:rsid w:val="00A628EC"/>
    <w:rsid w:val="00A63F95"/>
    <w:rsid w:val="00A65103"/>
    <w:rsid w:val="00A65A75"/>
    <w:rsid w:val="00A7174F"/>
    <w:rsid w:val="00A72F29"/>
    <w:rsid w:val="00A73CE8"/>
    <w:rsid w:val="00A74331"/>
    <w:rsid w:val="00A7567C"/>
    <w:rsid w:val="00A758DE"/>
    <w:rsid w:val="00A75EFA"/>
    <w:rsid w:val="00A7672D"/>
    <w:rsid w:val="00A7709C"/>
    <w:rsid w:val="00A81ED9"/>
    <w:rsid w:val="00A8375D"/>
    <w:rsid w:val="00A83E09"/>
    <w:rsid w:val="00A84544"/>
    <w:rsid w:val="00A857FE"/>
    <w:rsid w:val="00A85827"/>
    <w:rsid w:val="00A86AB2"/>
    <w:rsid w:val="00A87140"/>
    <w:rsid w:val="00A92061"/>
    <w:rsid w:val="00A92122"/>
    <w:rsid w:val="00A93B60"/>
    <w:rsid w:val="00A94643"/>
    <w:rsid w:val="00A94CE9"/>
    <w:rsid w:val="00AA2142"/>
    <w:rsid w:val="00AA3144"/>
    <w:rsid w:val="00AA3267"/>
    <w:rsid w:val="00AA37FB"/>
    <w:rsid w:val="00AA5A6F"/>
    <w:rsid w:val="00AA6100"/>
    <w:rsid w:val="00AA6800"/>
    <w:rsid w:val="00AA7043"/>
    <w:rsid w:val="00AA711D"/>
    <w:rsid w:val="00AB0027"/>
    <w:rsid w:val="00AB00D5"/>
    <w:rsid w:val="00AB175B"/>
    <w:rsid w:val="00AB17EE"/>
    <w:rsid w:val="00AB2B22"/>
    <w:rsid w:val="00AB2C01"/>
    <w:rsid w:val="00AB50D8"/>
    <w:rsid w:val="00AB5515"/>
    <w:rsid w:val="00AB69FA"/>
    <w:rsid w:val="00AB7064"/>
    <w:rsid w:val="00AC114D"/>
    <w:rsid w:val="00AC3471"/>
    <w:rsid w:val="00AC3538"/>
    <w:rsid w:val="00AC3638"/>
    <w:rsid w:val="00AC3E84"/>
    <w:rsid w:val="00AC4B47"/>
    <w:rsid w:val="00AC4EEC"/>
    <w:rsid w:val="00AC51C9"/>
    <w:rsid w:val="00AD03A4"/>
    <w:rsid w:val="00AD1327"/>
    <w:rsid w:val="00AD16C6"/>
    <w:rsid w:val="00AD237F"/>
    <w:rsid w:val="00AD27CF"/>
    <w:rsid w:val="00AD30EA"/>
    <w:rsid w:val="00AD553A"/>
    <w:rsid w:val="00AD5DF0"/>
    <w:rsid w:val="00AD66A0"/>
    <w:rsid w:val="00AE1AF0"/>
    <w:rsid w:val="00AE25E1"/>
    <w:rsid w:val="00AE3848"/>
    <w:rsid w:val="00AE5037"/>
    <w:rsid w:val="00AE5A33"/>
    <w:rsid w:val="00AE613C"/>
    <w:rsid w:val="00AE614E"/>
    <w:rsid w:val="00AE6812"/>
    <w:rsid w:val="00AF3D35"/>
    <w:rsid w:val="00AF3D51"/>
    <w:rsid w:val="00AF48B0"/>
    <w:rsid w:val="00AF4904"/>
    <w:rsid w:val="00AF579F"/>
    <w:rsid w:val="00AF5DAE"/>
    <w:rsid w:val="00AF74B7"/>
    <w:rsid w:val="00B00CBD"/>
    <w:rsid w:val="00B01F3D"/>
    <w:rsid w:val="00B0273C"/>
    <w:rsid w:val="00B044A6"/>
    <w:rsid w:val="00B100C8"/>
    <w:rsid w:val="00B100E8"/>
    <w:rsid w:val="00B13F01"/>
    <w:rsid w:val="00B15110"/>
    <w:rsid w:val="00B15A18"/>
    <w:rsid w:val="00B16585"/>
    <w:rsid w:val="00B16B0D"/>
    <w:rsid w:val="00B20F4E"/>
    <w:rsid w:val="00B21319"/>
    <w:rsid w:val="00B22D88"/>
    <w:rsid w:val="00B23094"/>
    <w:rsid w:val="00B245A1"/>
    <w:rsid w:val="00B266F6"/>
    <w:rsid w:val="00B26714"/>
    <w:rsid w:val="00B34EC1"/>
    <w:rsid w:val="00B37157"/>
    <w:rsid w:val="00B41C85"/>
    <w:rsid w:val="00B42A11"/>
    <w:rsid w:val="00B450EA"/>
    <w:rsid w:val="00B45C89"/>
    <w:rsid w:val="00B46A36"/>
    <w:rsid w:val="00B47C67"/>
    <w:rsid w:val="00B47F65"/>
    <w:rsid w:val="00B50756"/>
    <w:rsid w:val="00B507FE"/>
    <w:rsid w:val="00B512DE"/>
    <w:rsid w:val="00B52C60"/>
    <w:rsid w:val="00B5488D"/>
    <w:rsid w:val="00B548CC"/>
    <w:rsid w:val="00B550D3"/>
    <w:rsid w:val="00B56B03"/>
    <w:rsid w:val="00B61071"/>
    <w:rsid w:val="00B61665"/>
    <w:rsid w:val="00B62F40"/>
    <w:rsid w:val="00B632BD"/>
    <w:rsid w:val="00B64629"/>
    <w:rsid w:val="00B649DC"/>
    <w:rsid w:val="00B675CB"/>
    <w:rsid w:val="00B6775A"/>
    <w:rsid w:val="00B67967"/>
    <w:rsid w:val="00B67F21"/>
    <w:rsid w:val="00B70620"/>
    <w:rsid w:val="00B731C2"/>
    <w:rsid w:val="00B736FC"/>
    <w:rsid w:val="00B743A4"/>
    <w:rsid w:val="00B74838"/>
    <w:rsid w:val="00B755CE"/>
    <w:rsid w:val="00B76070"/>
    <w:rsid w:val="00B76A18"/>
    <w:rsid w:val="00B7784E"/>
    <w:rsid w:val="00B80FE9"/>
    <w:rsid w:val="00B814E8"/>
    <w:rsid w:val="00B82171"/>
    <w:rsid w:val="00B8348E"/>
    <w:rsid w:val="00B83ABA"/>
    <w:rsid w:val="00B83F3E"/>
    <w:rsid w:val="00B84540"/>
    <w:rsid w:val="00B84787"/>
    <w:rsid w:val="00B85261"/>
    <w:rsid w:val="00B86CBE"/>
    <w:rsid w:val="00B8779F"/>
    <w:rsid w:val="00B905C0"/>
    <w:rsid w:val="00B91559"/>
    <w:rsid w:val="00B920A4"/>
    <w:rsid w:val="00B9525E"/>
    <w:rsid w:val="00B95847"/>
    <w:rsid w:val="00B97CBF"/>
    <w:rsid w:val="00BA1E75"/>
    <w:rsid w:val="00BA20F5"/>
    <w:rsid w:val="00BA454D"/>
    <w:rsid w:val="00BA5C67"/>
    <w:rsid w:val="00BA7DEB"/>
    <w:rsid w:val="00BB2C5A"/>
    <w:rsid w:val="00BB33C0"/>
    <w:rsid w:val="00BB38DC"/>
    <w:rsid w:val="00BB39EE"/>
    <w:rsid w:val="00BB3C57"/>
    <w:rsid w:val="00BB4A06"/>
    <w:rsid w:val="00BB6090"/>
    <w:rsid w:val="00BB6A54"/>
    <w:rsid w:val="00BB7E4F"/>
    <w:rsid w:val="00BC3CB4"/>
    <w:rsid w:val="00BC3DA6"/>
    <w:rsid w:val="00BC40E2"/>
    <w:rsid w:val="00BC456B"/>
    <w:rsid w:val="00BC48CB"/>
    <w:rsid w:val="00BC5843"/>
    <w:rsid w:val="00BC7694"/>
    <w:rsid w:val="00BD0A0C"/>
    <w:rsid w:val="00BD0C76"/>
    <w:rsid w:val="00BD1EDD"/>
    <w:rsid w:val="00BD24A9"/>
    <w:rsid w:val="00BD2F92"/>
    <w:rsid w:val="00BD375A"/>
    <w:rsid w:val="00BD6C0B"/>
    <w:rsid w:val="00BD7ED8"/>
    <w:rsid w:val="00BE0838"/>
    <w:rsid w:val="00BE0C91"/>
    <w:rsid w:val="00BE10B5"/>
    <w:rsid w:val="00BE2667"/>
    <w:rsid w:val="00BE2AFD"/>
    <w:rsid w:val="00BE3042"/>
    <w:rsid w:val="00BE5825"/>
    <w:rsid w:val="00BE75F3"/>
    <w:rsid w:val="00BF1B36"/>
    <w:rsid w:val="00BF25F8"/>
    <w:rsid w:val="00BF3D6A"/>
    <w:rsid w:val="00BF400B"/>
    <w:rsid w:val="00BF687C"/>
    <w:rsid w:val="00BF7B37"/>
    <w:rsid w:val="00C01353"/>
    <w:rsid w:val="00C02212"/>
    <w:rsid w:val="00C0337E"/>
    <w:rsid w:val="00C05AB4"/>
    <w:rsid w:val="00C06733"/>
    <w:rsid w:val="00C10628"/>
    <w:rsid w:val="00C10D2A"/>
    <w:rsid w:val="00C11DED"/>
    <w:rsid w:val="00C13891"/>
    <w:rsid w:val="00C15041"/>
    <w:rsid w:val="00C15183"/>
    <w:rsid w:val="00C15AE5"/>
    <w:rsid w:val="00C16BD3"/>
    <w:rsid w:val="00C178CA"/>
    <w:rsid w:val="00C20173"/>
    <w:rsid w:val="00C20C90"/>
    <w:rsid w:val="00C21C3C"/>
    <w:rsid w:val="00C21E95"/>
    <w:rsid w:val="00C22D96"/>
    <w:rsid w:val="00C23534"/>
    <w:rsid w:val="00C23D2A"/>
    <w:rsid w:val="00C2497A"/>
    <w:rsid w:val="00C24C72"/>
    <w:rsid w:val="00C252B0"/>
    <w:rsid w:val="00C259E2"/>
    <w:rsid w:val="00C25B8C"/>
    <w:rsid w:val="00C25DBE"/>
    <w:rsid w:val="00C25DCD"/>
    <w:rsid w:val="00C26A61"/>
    <w:rsid w:val="00C2716C"/>
    <w:rsid w:val="00C3026F"/>
    <w:rsid w:val="00C30786"/>
    <w:rsid w:val="00C35BB1"/>
    <w:rsid w:val="00C35BBA"/>
    <w:rsid w:val="00C368D2"/>
    <w:rsid w:val="00C36B2E"/>
    <w:rsid w:val="00C36E97"/>
    <w:rsid w:val="00C42090"/>
    <w:rsid w:val="00C42911"/>
    <w:rsid w:val="00C42B1D"/>
    <w:rsid w:val="00C43E61"/>
    <w:rsid w:val="00C4496D"/>
    <w:rsid w:val="00C45257"/>
    <w:rsid w:val="00C468A8"/>
    <w:rsid w:val="00C476FC"/>
    <w:rsid w:val="00C47EA5"/>
    <w:rsid w:val="00C51223"/>
    <w:rsid w:val="00C55300"/>
    <w:rsid w:val="00C56DB2"/>
    <w:rsid w:val="00C609CB"/>
    <w:rsid w:val="00C60BA8"/>
    <w:rsid w:val="00C617C3"/>
    <w:rsid w:val="00C6272E"/>
    <w:rsid w:val="00C62B15"/>
    <w:rsid w:val="00C63015"/>
    <w:rsid w:val="00C630DE"/>
    <w:rsid w:val="00C64473"/>
    <w:rsid w:val="00C64898"/>
    <w:rsid w:val="00C66EFD"/>
    <w:rsid w:val="00C7002F"/>
    <w:rsid w:val="00C70B1C"/>
    <w:rsid w:val="00C70BDE"/>
    <w:rsid w:val="00C70EEC"/>
    <w:rsid w:val="00C716DC"/>
    <w:rsid w:val="00C72603"/>
    <w:rsid w:val="00C72795"/>
    <w:rsid w:val="00C729F0"/>
    <w:rsid w:val="00C74512"/>
    <w:rsid w:val="00C745AB"/>
    <w:rsid w:val="00C75255"/>
    <w:rsid w:val="00C818BB"/>
    <w:rsid w:val="00C82D6E"/>
    <w:rsid w:val="00C84254"/>
    <w:rsid w:val="00C8518C"/>
    <w:rsid w:val="00C85A4A"/>
    <w:rsid w:val="00C86156"/>
    <w:rsid w:val="00C86FC8"/>
    <w:rsid w:val="00C87863"/>
    <w:rsid w:val="00C92414"/>
    <w:rsid w:val="00C93A83"/>
    <w:rsid w:val="00C94B14"/>
    <w:rsid w:val="00C953DD"/>
    <w:rsid w:val="00C95921"/>
    <w:rsid w:val="00C975B2"/>
    <w:rsid w:val="00CA0930"/>
    <w:rsid w:val="00CA0933"/>
    <w:rsid w:val="00CA25DB"/>
    <w:rsid w:val="00CA2C46"/>
    <w:rsid w:val="00CA3601"/>
    <w:rsid w:val="00CA4CCA"/>
    <w:rsid w:val="00CA547B"/>
    <w:rsid w:val="00CA7CDC"/>
    <w:rsid w:val="00CB4805"/>
    <w:rsid w:val="00CB68CF"/>
    <w:rsid w:val="00CC40EC"/>
    <w:rsid w:val="00CC4344"/>
    <w:rsid w:val="00CC6DCE"/>
    <w:rsid w:val="00CC7CEA"/>
    <w:rsid w:val="00CD04DD"/>
    <w:rsid w:val="00CD135F"/>
    <w:rsid w:val="00CD1B5C"/>
    <w:rsid w:val="00CD1C45"/>
    <w:rsid w:val="00CD318D"/>
    <w:rsid w:val="00CD384C"/>
    <w:rsid w:val="00CD42DF"/>
    <w:rsid w:val="00CD4652"/>
    <w:rsid w:val="00CD57D2"/>
    <w:rsid w:val="00CD5A17"/>
    <w:rsid w:val="00CD7117"/>
    <w:rsid w:val="00CD7DE3"/>
    <w:rsid w:val="00CE0D7C"/>
    <w:rsid w:val="00CE2EEF"/>
    <w:rsid w:val="00CE3D98"/>
    <w:rsid w:val="00CE4EE5"/>
    <w:rsid w:val="00CE5D4A"/>
    <w:rsid w:val="00CE67CF"/>
    <w:rsid w:val="00CF20C6"/>
    <w:rsid w:val="00CF3242"/>
    <w:rsid w:val="00CF3EC2"/>
    <w:rsid w:val="00CF5C8E"/>
    <w:rsid w:val="00CF6BB9"/>
    <w:rsid w:val="00D00AC6"/>
    <w:rsid w:val="00D01077"/>
    <w:rsid w:val="00D01175"/>
    <w:rsid w:val="00D017E3"/>
    <w:rsid w:val="00D03867"/>
    <w:rsid w:val="00D03D1A"/>
    <w:rsid w:val="00D0473C"/>
    <w:rsid w:val="00D11CD5"/>
    <w:rsid w:val="00D1396B"/>
    <w:rsid w:val="00D13FA4"/>
    <w:rsid w:val="00D144FA"/>
    <w:rsid w:val="00D149AA"/>
    <w:rsid w:val="00D16984"/>
    <w:rsid w:val="00D17318"/>
    <w:rsid w:val="00D2053A"/>
    <w:rsid w:val="00D212AE"/>
    <w:rsid w:val="00D21779"/>
    <w:rsid w:val="00D21C4E"/>
    <w:rsid w:val="00D21DCB"/>
    <w:rsid w:val="00D2301A"/>
    <w:rsid w:val="00D231B4"/>
    <w:rsid w:val="00D237FC"/>
    <w:rsid w:val="00D2670A"/>
    <w:rsid w:val="00D278EE"/>
    <w:rsid w:val="00D30902"/>
    <w:rsid w:val="00D30A45"/>
    <w:rsid w:val="00D31A06"/>
    <w:rsid w:val="00D3407B"/>
    <w:rsid w:val="00D3439A"/>
    <w:rsid w:val="00D34D24"/>
    <w:rsid w:val="00D351AB"/>
    <w:rsid w:val="00D354A2"/>
    <w:rsid w:val="00D36CB9"/>
    <w:rsid w:val="00D40C8E"/>
    <w:rsid w:val="00D4199D"/>
    <w:rsid w:val="00D41D51"/>
    <w:rsid w:val="00D4208A"/>
    <w:rsid w:val="00D446BE"/>
    <w:rsid w:val="00D44EA1"/>
    <w:rsid w:val="00D4520D"/>
    <w:rsid w:val="00D52199"/>
    <w:rsid w:val="00D52394"/>
    <w:rsid w:val="00D53740"/>
    <w:rsid w:val="00D54280"/>
    <w:rsid w:val="00D551D4"/>
    <w:rsid w:val="00D55957"/>
    <w:rsid w:val="00D55BC7"/>
    <w:rsid w:val="00D5726D"/>
    <w:rsid w:val="00D578B7"/>
    <w:rsid w:val="00D60FA1"/>
    <w:rsid w:val="00D62799"/>
    <w:rsid w:val="00D628DE"/>
    <w:rsid w:val="00D62A4C"/>
    <w:rsid w:val="00D63911"/>
    <w:rsid w:val="00D64363"/>
    <w:rsid w:val="00D64610"/>
    <w:rsid w:val="00D67982"/>
    <w:rsid w:val="00D709C1"/>
    <w:rsid w:val="00D70B5D"/>
    <w:rsid w:val="00D713DB"/>
    <w:rsid w:val="00D71657"/>
    <w:rsid w:val="00D72D5F"/>
    <w:rsid w:val="00D73796"/>
    <w:rsid w:val="00D74104"/>
    <w:rsid w:val="00D742D3"/>
    <w:rsid w:val="00D80873"/>
    <w:rsid w:val="00D81283"/>
    <w:rsid w:val="00D815B0"/>
    <w:rsid w:val="00D81811"/>
    <w:rsid w:val="00D836E1"/>
    <w:rsid w:val="00D83740"/>
    <w:rsid w:val="00D8403A"/>
    <w:rsid w:val="00D8421A"/>
    <w:rsid w:val="00D84B1D"/>
    <w:rsid w:val="00D87B6A"/>
    <w:rsid w:val="00D90302"/>
    <w:rsid w:val="00D904C1"/>
    <w:rsid w:val="00D921EC"/>
    <w:rsid w:val="00D934A5"/>
    <w:rsid w:val="00D974C8"/>
    <w:rsid w:val="00DA0027"/>
    <w:rsid w:val="00DA0292"/>
    <w:rsid w:val="00DA09ED"/>
    <w:rsid w:val="00DA21FA"/>
    <w:rsid w:val="00DA2AEA"/>
    <w:rsid w:val="00DA3B82"/>
    <w:rsid w:val="00DA42D0"/>
    <w:rsid w:val="00DA6DD5"/>
    <w:rsid w:val="00DA7652"/>
    <w:rsid w:val="00DA7A69"/>
    <w:rsid w:val="00DB0406"/>
    <w:rsid w:val="00DB142C"/>
    <w:rsid w:val="00DB31B3"/>
    <w:rsid w:val="00DB3F46"/>
    <w:rsid w:val="00DB4141"/>
    <w:rsid w:val="00DB5AE7"/>
    <w:rsid w:val="00DB6B28"/>
    <w:rsid w:val="00DB6FF1"/>
    <w:rsid w:val="00DB7F21"/>
    <w:rsid w:val="00DC1F3E"/>
    <w:rsid w:val="00DC3CB0"/>
    <w:rsid w:val="00DC6304"/>
    <w:rsid w:val="00DC6342"/>
    <w:rsid w:val="00DC686A"/>
    <w:rsid w:val="00DC6874"/>
    <w:rsid w:val="00DC78ED"/>
    <w:rsid w:val="00DC79EA"/>
    <w:rsid w:val="00DC7A1A"/>
    <w:rsid w:val="00DD145F"/>
    <w:rsid w:val="00DD277D"/>
    <w:rsid w:val="00DD43C8"/>
    <w:rsid w:val="00DD541A"/>
    <w:rsid w:val="00DE04CE"/>
    <w:rsid w:val="00DE0C4B"/>
    <w:rsid w:val="00DE1951"/>
    <w:rsid w:val="00DE1A70"/>
    <w:rsid w:val="00DE1D4B"/>
    <w:rsid w:val="00DE1DA3"/>
    <w:rsid w:val="00DE3F87"/>
    <w:rsid w:val="00DE6297"/>
    <w:rsid w:val="00DE7B07"/>
    <w:rsid w:val="00DE7F08"/>
    <w:rsid w:val="00DF0AF0"/>
    <w:rsid w:val="00DF0E3F"/>
    <w:rsid w:val="00DF0F79"/>
    <w:rsid w:val="00DF21FA"/>
    <w:rsid w:val="00DF2453"/>
    <w:rsid w:val="00DF4A1E"/>
    <w:rsid w:val="00DF4DF6"/>
    <w:rsid w:val="00DF511D"/>
    <w:rsid w:val="00DF634A"/>
    <w:rsid w:val="00E025DF"/>
    <w:rsid w:val="00E03A8B"/>
    <w:rsid w:val="00E04503"/>
    <w:rsid w:val="00E05721"/>
    <w:rsid w:val="00E06232"/>
    <w:rsid w:val="00E06A18"/>
    <w:rsid w:val="00E07C9D"/>
    <w:rsid w:val="00E112FE"/>
    <w:rsid w:val="00E116E2"/>
    <w:rsid w:val="00E11A8B"/>
    <w:rsid w:val="00E1201A"/>
    <w:rsid w:val="00E12467"/>
    <w:rsid w:val="00E13749"/>
    <w:rsid w:val="00E1501D"/>
    <w:rsid w:val="00E16625"/>
    <w:rsid w:val="00E20967"/>
    <w:rsid w:val="00E21013"/>
    <w:rsid w:val="00E227F2"/>
    <w:rsid w:val="00E229E4"/>
    <w:rsid w:val="00E22ACE"/>
    <w:rsid w:val="00E239AA"/>
    <w:rsid w:val="00E23EC0"/>
    <w:rsid w:val="00E254D5"/>
    <w:rsid w:val="00E25C42"/>
    <w:rsid w:val="00E2655D"/>
    <w:rsid w:val="00E2658B"/>
    <w:rsid w:val="00E26A2C"/>
    <w:rsid w:val="00E26E5D"/>
    <w:rsid w:val="00E2752E"/>
    <w:rsid w:val="00E30A11"/>
    <w:rsid w:val="00E310F7"/>
    <w:rsid w:val="00E326C6"/>
    <w:rsid w:val="00E35EA2"/>
    <w:rsid w:val="00E35FE9"/>
    <w:rsid w:val="00E40950"/>
    <w:rsid w:val="00E43E82"/>
    <w:rsid w:val="00E43EE2"/>
    <w:rsid w:val="00E473AC"/>
    <w:rsid w:val="00E479A3"/>
    <w:rsid w:val="00E47C85"/>
    <w:rsid w:val="00E50057"/>
    <w:rsid w:val="00E525ED"/>
    <w:rsid w:val="00E5309C"/>
    <w:rsid w:val="00E55005"/>
    <w:rsid w:val="00E55658"/>
    <w:rsid w:val="00E56B99"/>
    <w:rsid w:val="00E57910"/>
    <w:rsid w:val="00E64655"/>
    <w:rsid w:val="00E64F55"/>
    <w:rsid w:val="00E65EC4"/>
    <w:rsid w:val="00E66650"/>
    <w:rsid w:val="00E71E0D"/>
    <w:rsid w:val="00E721F0"/>
    <w:rsid w:val="00E72455"/>
    <w:rsid w:val="00E72460"/>
    <w:rsid w:val="00E73ECD"/>
    <w:rsid w:val="00E74CE6"/>
    <w:rsid w:val="00E75382"/>
    <w:rsid w:val="00E81DA2"/>
    <w:rsid w:val="00E83096"/>
    <w:rsid w:val="00E83CF7"/>
    <w:rsid w:val="00E848A1"/>
    <w:rsid w:val="00E86250"/>
    <w:rsid w:val="00E86B76"/>
    <w:rsid w:val="00E87BDE"/>
    <w:rsid w:val="00E87C14"/>
    <w:rsid w:val="00E9025E"/>
    <w:rsid w:val="00E918C4"/>
    <w:rsid w:val="00E9241F"/>
    <w:rsid w:val="00E9293E"/>
    <w:rsid w:val="00E935A0"/>
    <w:rsid w:val="00E938F3"/>
    <w:rsid w:val="00E93A75"/>
    <w:rsid w:val="00E9560F"/>
    <w:rsid w:val="00E972DA"/>
    <w:rsid w:val="00E97443"/>
    <w:rsid w:val="00EA49F2"/>
    <w:rsid w:val="00EA7D1E"/>
    <w:rsid w:val="00EB178B"/>
    <w:rsid w:val="00EB2970"/>
    <w:rsid w:val="00EB454F"/>
    <w:rsid w:val="00EB506A"/>
    <w:rsid w:val="00EB56E2"/>
    <w:rsid w:val="00EB65AC"/>
    <w:rsid w:val="00EB7869"/>
    <w:rsid w:val="00EC1654"/>
    <w:rsid w:val="00EC1CBE"/>
    <w:rsid w:val="00EC5777"/>
    <w:rsid w:val="00EC5A17"/>
    <w:rsid w:val="00EC63B0"/>
    <w:rsid w:val="00EC75A3"/>
    <w:rsid w:val="00ED0131"/>
    <w:rsid w:val="00ED09C8"/>
    <w:rsid w:val="00ED0D22"/>
    <w:rsid w:val="00ED1066"/>
    <w:rsid w:val="00ED1FC0"/>
    <w:rsid w:val="00ED47F4"/>
    <w:rsid w:val="00ED4992"/>
    <w:rsid w:val="00ED4B4D"/>
    <w:rsid w:val="00EE093D"/>
    <w:rsid w:val="00EE20E0"/>
    <w:rsid w:val="00EE20E7"/>
    <w:rsid w:val="00EE326D"/>
    <w:rsid w:val="00EE436F"/>
    <w:rsid w:val="00EE4CAA"/>
    <w:rsid w:val="00EE59F6"/>
    <w:rsid w:val="00EE63E9"/>
    <w:rsid w:val="00EF1014"/>
    <w:rsid w:val="00EF142B"/>
    <w:rsid w:val="00EF23DA"/>
    <w:rsid w:val="00EF40BA"/>
    <w:rsid w:val="00EF429A"/>
    <w:rsid w:val="00EF4A46"/>
    <w:rsid w:val="00EF5BE3"/>
    <w:rsid w:val="00EF79A1"/>
    <w:rsid w:val="00F01348"/>
    <w:rsid w:val="00F01B7D"/>
    <w:rsid w:val="00F01DEA"/>
    <w:rsid w:val="00F03373"/>
    <w:rsid w:val="00F03E4D"/>
    <w:rsid w:val="00F0411A"/>
    <w:rsid w:val="00F04382"/>
    <w:rsid w:val="00F04628"/>
    <w:rsid w:val="00F04B51"/>
    <w:rsid w:val="00F0628D"/>
    <w:rsid w:val="00F077D4"/>
    <w:rsid w:val="00F0791F"/>
    <w:rsid w:val="00F1018A"/>
    <w:rsid w:val="00F109C6"/>
    <w:rsid w:val="00F11EAE"/>
    <w:rsid w:val="00F11FBE"/>
    <w:rsid w:val="00F12589"/>
    <w:rsid w:val="00F20CA3"/>
    <w:rsid w:val="00F22C71"/>
    <w:rsid w:val="00F23246"/>
    <w:rsid w:val="00F23675"/>
    <w:rsid w:val="00F23A46"/>
    <w:rsid w:val="00F24819"/>
    <w:rsid w:val="00F250C1"/>
    <w:rsid w:val="00F2567A"/>
    <w:rsid w:val="00F25E12"/>
    <w:rsid w:val="00F26DA9"/>
    <w:rsid w:val="00F273B0"/>
    <w:rsid w:val="00F27AF7"/>
    <w:rsid w:val="00F27E04"/>
    <w:rsid w:val="00F30656"/>
    <w:rsid w:val="00F30913"/>
    <w:rsid w:val="00F310E2"/>
    <w:rsid w:val="00F31381"/>
    <w:rsid w:val="00F3215C"/>
    <w:rsid w:val="00F33062"/>
    <w:rsid w:val="00F411A6"/>
    <w:rsid w:val="00F41413"/>
    <w:rsid w:val="00F41E96"/>
    <w:rsid w:val="00F427AE"/>
    <w:rsid w:val="00F43A54"/>
    <w:rsid w:val="00F43DF0"/>
    <w:rsid w:val="00F43E61"/>
    <w:rsid w:val="00F445F5"/>
    <w:rsid w:val="00F456F3"/>
    <w:rsid w:val="00F45C99"/>
    <w:rsid w:val="00F46AF8"/>
    <w:rsid w:val="00F4704E"/>
    <w:rsid w:val="00F50176"/>
    <w:rsid w:val="00F50715"/>
    <w:rsid w:val="00F52EDA"/>
    <w:rsid w:val="00F55218"/>
    <w:rsid w:val="00F55408"/>
    <w:rsid w:val="00F56540"/>
    <w:rsid w:val="00F602F9"/>
    <w:rsid w:val="00F61C22"/>
    <w:rsid w:val="00F61F05"/>
    <w:rsid w:val="00F62701"/>
    <w:rsid w:val="00F6381A"/>
    <w:rsid w:val="00F63D56"/>
    <w:rsid w:val="00F661D3"/>
    <w:rsid w:val="00F66397"/>
    <w:rsid w:val="00F669DE"/>
    <w:rsid w:val="00F675A3"/>
    <w:rsid w:val="00F70E6E"/>
    <w:rsid w:val="00F71461"/>
    <w:rsid w:val="00F71813"/>
    <w:rsid w:val="00F723E9"/>
    <w:rsid w:val="00F72842"/>
    <w:rsid w:val="00F73B92"/>
    <w:rsid w:val="00F75940"/>
    <w:rsid w:val="00F770D7"/>
    <w:rsid w:val="00F814C6"/>
    <w:rsid w:val="00F81E1F"/>
    <w:rsid w:val="00F83192"/>
    <w:rsid w:val="00F839A1"/>
    <w:rsid w:val="00F85D6E"/>
    <w:rsid w:val="00F87380"/>
    <w:rsid w:val="00F87D69"/>
    <w:rsid w:val="00F9094E"/>
    <w:rsid w:val="00F94642"/>
    <w:rsid w:val="00F947DF"/>
    <w:rsid w:val="00F94B10"/>
    <w:rsid w:val="00F96556"/>
    <w:rsid w:val="00F97026"/>
    <w:rsid w:val="00F974CD"/>
    <w:rsid w:val="00F97918"/>
    <w:rsid w:val="00F97A8F"/>
    <w:rsid w:val="00F97AE2"/>
    <w:rsid w:val="00F97DCB"/>
    <w:rsid w:val="00FA0677"/>
    <w:rsid w:val="00FA0786"/>
    <w:rsid w:val="00FA1E56"/>
    <w:rsid w:val="00FA21AA"/>
    <w:rsid w:val="00FA3332"/>
    <w:rsid w:val="00FA3617"/>
    <w:rsid w:val="00FA3C90"/>
    <w:rsid w:val="00FA414A"/>
    <w:rsid w:val="00FA41DF"/>
    <w:rsid w:val="00FA5323"/>
    <w:rsid w:val="00FA5C46"/>
    <w:rsid w:val="00FA77CA"/>
    <w:rsid w:val="00FB0503"/>
    <w:rsid w:val="00FB101E"/>
    <w:rsid w:val="00FB11D0"/>
    <w:rsid w:val="00FB296F"/>
    <w:rsid w:val="00FB3C4A"/>
    <w:rsid w:val="00FB3D7B"/>
    <w:rsid w:val="00FB42E1"/>
    <w:rsid w:val="00FB601D"/>
    <w:rsid w:val="00FB692B"/>
    <w:rsid w:val="00FB7CC4"/>
    <w:rsid w:val="00FC030C"/>
    <w:rsid w:val="00FC0456"/>
    <w:rsid w:val="00FC3561"/>
    <w:rsid w:val="00FC3DC6"/>
    <w:rsid w:val="00FC58BA"/>
    <w:rsid w:val="00FC5A5C"/>
    <w:rsid w:val="00FC6131"/>
    <w:rsid w:val="00FC6406"/>
    <w:rsid w:val="00FC7D12"/>
    <w:rsid w:val="00FD1157"/>
    <w:rsid w:val="00FD20D7"/>
    <w:rsid w:val="00FD29E3"/>
    <w:rsid w:val="00FD2AD1"/>
    <w:rsid w:val="00FD35CA"/>
    <w:rsid w:val="00FD399E"/>
    <w:rsid w:val="00FD3B8E"/>
    <w:rsid w:val="00FD5245"/>
    <w:rsid w:val="00FD5D97"/>
    <w:rsid w:val="00FD7214"/>
    <w:rsid w:val="00FE0249"/>
    <w:rsid w:val="00FE122C"/>
    <w:rsid w:val="00FE1F0A"/>
    <w:rsid w:val="00FE3FC4"/>
    <w:rsid w:val="00FE4B60"/>
    <w:rsid w:val="00FE6B97"/>
    <w:rsid w:val="00FF048C"/>
    <w:rsid w:val="00FF2D66"/>
    <w:rsid w:val="00FF337C"/>
    <w:rsid w:val="00FF3D91"/>
    <w:rsid w:val="00FF5D6D"/>
    <w:rsid w:val="0A27357A"/>
    <w:rsid w:val="1C8B64CD"/>
    <w:rsid w:val="29052505"/>
    <w:rsid w:val="2F971BAB"/>
    <w:rsid w:val="73FF2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55BAB"/>
  <w15:docId w15:val="{CA7F4BA3-F737-4D24-9AD7-7854142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69"/>
    <w:pPr>
      <w:widowControl w:val="0"/>
      <w:autoSpaceDE w:val="0"/>
      <w:autoSpaceDN w:val="0"/>
      <w:adjustRightInd w:val="0"/>
      <w:spacing w:after="120"/>
      <w:ind w:right="142"/>
    </w:pPr>
    <w:rPr>
      <w:rFonts w:asciiTheme="minorHAnsi" w:eastAsia="Times" w:hAnsiTheme="minorHAnsi" w:cs="Arial"/>
      <w:color w:val="666666"/>
      <w:spacing w:val="-3"/>
      <w:sz w:val="18"/>
      <w:szCs w:val="24"/>
    </w:rPr>
  </w:style>
  <w:style w:type="paragraph" w:styleId="Ttulo1">
    <w:name w:val="heading 1"/>
    <w:basedOn w:val="Normal"/>
    <w:next w:val="Normal"/>
    <w:link w:val="Ttulo1Car"/>
    <w:uiPriority w:val="9"/>
    <w:qFormat/>
    <w:rsid w:val="00AA711D"/>
    <w:pPr>
      <w:outlineLvl w:val="0"/>
    </w:pPr>
    <w:rPr>
      <w:b/>
      <w:color w:val="004481" w:themeColor="text1"/>
      <w:lang w:val="en-US"/>
    </w:rPr>
  </w:style>
  <w:style w:type="paragraph" w:styleId="Ttulo2">
    <w:name w:val="heading 2"/>
    <w:basedOn w:val="Normal"/>
    <w:next w:val="Normal"/>
    <w:link w:val="Ttulo2Car"/>
    <w:uiPriority w:val="9"/>
    <w:unhideWhenUsed/>
    <w:qFormat/>
    <w:rsid w:val="0007249D"/>
    <w:pPr>
      <w:keepNext/>
      <w:keepLines/>
      <w:spacing w:before="200"/>
      <w:outlineLvl w:val="1"/>
    </w:pPr>
    <w:rPr>
      <w:rFonts w:asciiTheme="majorHAnsi" w:eastAsiaTheme="majorEastAsia" w:hAnsiTheme="majorHAnsi" w:cstheme="majorBidi"/>
      <w:bCs/>
      <w:color w:val="1464A5"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1CEB"/>
    <w:pPr>
      <w:tabs>
        <w:tab w:val="center" w:pos="4252"/>
        <w:tab w:val="right" w:pos="8504"/>
      </w:tabs>
    </w:pPr>
    <w:rPr>
      <w:color w:val="121212" w:themeColor="background2"/>
    </w:rPr>
  </w:style>
  <w:style w:type="character" w:customStyle="1" w:styleId="EncabezadoCar">
    <w:name w:val="Encabezado Car"/>
    <w:basedOn w:val="Fuentedeprrafopredeter"/>
    <w:link w:val="Encabezado"/>
    <w:uiPriority w:val="99"/>
    <w:rsid w:val="00781CEB"/>
    <w:rPr>
      <w:rFonts w:asciiTheme="minorHAnsi" w:eastAsia="Times" w:hAnsiTheme="minorHAnsi"/>
      <w:color w:val="121212" w:themeColor="background2"/>
      <w:sz w:val="24"/>
      <w:szCs w:val="24"/>
      <w:lang w:val="es-ES_tradnl"/>
    </w:rPr>
  </w:style>
  <w:style w:type="paragraph" w:customStyle="1" w:styleId="Textoportada">
    <w:name w:val="Texto portada"/>
    <w:qFormat/>
    <w:rsid w:val="00D351AB"/>
    <w:pPr>
      <w:spacing w:after="240" w:line="264" w:lineRule="auto"/>
    </w:pPr>
    <w:rPr>
      <w:rFonts w:asciiTheme="majorHAnsi" w:eastAsia="Times" w:hAnsiTheme="majorHAnsi" w:cs="Arial"/>
      <w:noProof/>
      <w:color w:val="121212" w:themeColor="background2"/>
      <w:szCs w:val="22"/>
    </w:rPr>
  </w:style>
  <w:style w:type="paragraph" w:styleId="Textodeglobo">
    <w:name w:val="Balloon Text"/>
    <w:basedOn w:val="Normal"/>
    <w:link w:val="TextodegloboCar"/>
    <w:uiPriority w:val="99"/>
    <w:semiHidden/>
    <w:unhideWhenUsed/>
    <w:rsid w:val="00CD04DD"/>
    <w:rPr>
      <w:rFonts w:ascii="Lucida Grande" w:hAnsi="Lucida Grande"/>
      <w:szCs w:val="18"/>
    </w:rPr>
  </w:style>
  <w:style w:type="character" w:customStyle="1" w:styleId="TextodegloboCar">
    <w:name w:val="Texto de globo Car"/>
    <w:link w:val="Textodeglobo"/>
    <w:uiPriority w:val="99"/>
    <w:semiHidden/>
    <w:rsid w:val="00CD04DD"/>
    <w:rPr>
      <w:rFonts w:ascii="Lucida Grande" w:hAnsi="Lucida Grande"/>
      <w:sz w:val="18"/>
      <w:szCs w:val="18"/>
    </w:rPr>
  </w:style>
  <w:style w:type="paragraph" w:customStyle="1" w:styleId="piedepagina">
    <w:name w:val="pie de pagina"/>
    <w:basedOn w:val="Normal"/>
    <w:autoRedefine/>
    <w:rsid w:val="00781CEB"/>
    <w:pPr>
      <w:ind w:right="95"/>
      <w:jc w:val="right"/>
    </w:pPr>
    <w:rPr>
      <w:color w:val="1973B8" w:themeColor="accent1"/>
    </w:rPr>
  </w:style>
  <w:style w:type="table" w:styleId="Tablaconcuadrcula">
    <w:name w:val="Table Grid"/>
    <w:basedOn w:val="Tablanormal"/>
    <w:uiPriority w:val="59"/>
    <w:rsid w:val="00DC7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cabecera">
    <w:name w:val="Fecha_cabecera"/>
    <w:qFormat/>
    <w:rsid w:val="00F03373"/>
    <w:pPr>
      <w:jc w:val="right"/>
    </w:pPr>
    <w:rPr>
      <w:rFonts w:asciiTheme="majorHAnsi" w:eastAsia="Times" w:hAnsiTheme="majorHAnsi" w:cstheme="minorHAnsi"/>
      <w:color w:val="666666"/>
      <w:lang w:val="es-ES_tradnl"/>
    </w:rPr>
  </w:style>
  <w:style w:type="paragraph" w:customStyle="1" w:styleId="Nombredoc">
    <w:name w:val="Nombre_doc"/>
    <w:qFormat/>
    <w:rsid w:val="00AD03A4"/>
    <w:pPr>
      <w:spacing w:before="240"/>
      <w:jc w:val="right"/>
    </w:pPr>
    <w:rPr>
      <w:rFonts w:asciiTheme="minorHAnsi" w:eastAsia="Times" w:hAnsiTheme="minorHAnsi" w:cstheme="minorHAnsi"/>
      <w:noProof/>
      <w:color w:val="02A5A5"/>
      <w:sz w:val="32"/>
      <w:szCs w:val="28"/>
    </w:rPr>
  </w:style>
  <w:style w:type="paragraph" w:customStyle="1" w:styleId="Ttuloprincipal">
    <w:name w:val="Título_principal"/>
    <w:qFormat/>
    <w:rsid w:val="0046638C"/>
    <w:pPr>
      <w:tabs>
        <w:tab w:val="left" w:pos="-4111"/>
      </w:tabs>
      <w:spacing w:after="120"/>
      <w:ind w:right="142"/>
    </w:pPr>
    <w:rPr>
      <w:rFonts w:asciiTheme="majorHAnsi" w:eastAsia="Times" w:hAnsiTheme="majorHAnsi"/>
      <w:color w:val="2DCCCD" w:themeColor="accent3"/>
      <w:sz w:val="40"/>
      <w:szCs w:val="48"/>
    </w:rPr>
  </w:style>
  <w:style w:type="paragraph" w:customStyle="1" w:styleId="Link">
    <w:name w:val="Link"/>
    <w:basedOn w:val="Normal"/>
    <w:qFormat/>
    <w:rsid w:val="00A63F95"/>
    <w:pPr>
      <w:widowControl/>
      <w:autoSpaceDE/>
      <w:autoSpaceDN/>
      <w:adjustRightInd/>
      <w:spacing w:before="60" w:after="0"/>
      <w:ind w:right="0"/>
      <w:jc w:val="right"/>
    </w:pPr>
    <w:rPr>
      <w:b/>
      <w:color w:val="49A5E6"/>
      <w:sz w:val="14"/>
      <w:szCs w:val="14"/>
      <w:lang w:val="en-US"/>
    </w:rPr>
  </w:style>
  <w:style w:type="character" w:customStyle="1" w:styleId="Ttulo1Car">
    <w:name w:val="Título 1 Car"/>
    <w:basedOn w:val="Fuentedeprrafopredeter"/>
    <w:link w:val="Ttulo1"/>
    <w:uiPriority w:val="9"/>
    <w:rsid w:val="00AA711D"/>
    <w:rPr>
      <w:rFonts w:asciiTheme="minorHAnsi" w:eastAsia="Times" w:hAnsiTheme="minorHAnsi" w:cs="Arial"/>
      <w:b/>
      <w:noProof/>
      <w:color w:val="004481" w:themeColor="text1"/>
      <w:sz w:val="22"/>
      <w:szCs w:val="24"/>
      <w:lang w:val="en-US"/>
    </w:rPr>
  </w:style>
  <w:style w:type="paragraph" w:customStyle="1" w:styleId="Ttulointerior">
    <w:name w:val="Título interior"/>
    <w:basedOn w:val="Ttulo1"/>
    <w:rsid w:val="00A74331"/>
    <w:rPr>
      <w:b w:val="0"/>
      <w:color w:val="072146" w:themeColor="accent4"/>
      <w:sz w:val="36"/>
    </w:rPr>
  </w:style>
  <w:style w:type="paragraph" w:customStyle="1" w:styleId="Textodestacado">
    <w:name w:val="Texto_destacado"/>
    <w:qFormat/>
    <w:rsid w:val="00F770D7"/>
    <w:pPr>
      <w:spacing w:line="264" w:lineRule="auto"/>
    </w:pPr>
    <w:rPr>
      <w:rFonts w:asciiTheme="majorHAnsi" w:eastAsia="Times" w:hAnsiTheme="majorHAnsi" w:cs="Arial"/>
      <w:color w:val="072146" w:themeColor="accent4"/>
      <w:sz w:val="22"/>
      <w:szCs w:val="22"/>
      <w:lang w:val="es-ES_tradnl"/>
    </w:rPr>
  </w:style>
  <w:style w:type="character" w:customStyle="1" w:styleId="Ttulo2Car">
    <w:name w:val="Título 2 Car"/>
    <w:basedOn w:val="Fuentedeprrafopredeter"/>
    <w:link w:val="Ttulo2"/>
    <w:uiPriority w:val="9"/>
    <w:rsid w:val="0007249D"/>
    <w:rPr>
      <w:rFonts w:asciiTheme="majorHAnsi" w:eastAsiaTheme="majorEastAsia" w:hAnsiTheme="majorHAnsi" w:cstheme="majorBidi"/>
      <w:bCs/>
      <w:noProof/>
      <w:color w:val="1464A5" w:themeColor="text2"/>
      <w:sz w:val="24"/>
      <w:szCs w:val="26"/>
    </w:rPr>
  </w:style>
  <w:style w:type="paragraph" w:styleId="Prrafodelista">
    <w:name w:val="List Paragraph"/>
    <w:basedOn w:val="Normal"/>
    <w:uiPriority w:val="34"/>
    <w:qFormat/>
    <w:rsid w:val="0099539A"/>
    <w:pPr>
      <w:spacing w:before="120" w:after="360"/>
      <w:ind w:left="720"/>
    </w:pPr>
    <w:rPr>
      <w:color w:val="666667"/>
    </w:rPr>
  </w:style>
  <w:style w:type="paragraph" w:styleId="Piedepgina">
    <w:name w:val="footer"/>
    <w:basedOn w:val="Normal"/>
    <w:link w:val="PiedepginaCar"/>
    <w:uiPriority w:val="99"/>
    <w:unhideWhenUsed/>
    <w:rsid w:val="00710EB2"/>
    <w:pPr>
      <w:tabs>
        <w:tab w:val="center" w:pos="4513"/>
        <w:tab w:val="right" w:pos="9026"/>
      </w:tabs>
      <w:spacing w:after="0"/>
    </w:pPr>
  </w:style>
  <w:style w:type="character" w:customStyle="1" w:styleId="PiedepginaCar">
    <w:name w:val="Pie de página Car"/>
    <w:basedOn w:val="Fuentedeprrafopredeter"/>
    <w:link w:val="Piedepgina"/>
    <w:uiPriority w:val="99"/>
    <w:rsid w:val="00710EB2"/>
    <w:rPr>
      <w:rFonts w:asciiTheme="minorHAnsi" w:eastAsia="Times" w:hAnsiTheme="minorHAnsi" w:cs="Arial"/>
      <w:color w:val="666666"/>
      <w:sz w:val="24"/>
      <w:szCs w:val="24"/>
      <w:lang w:val="en-US" w:eastAsia="es-ES_tradnl"/>
    </w:rPr>
  </w:style>
  <w:style w:type="paragraph" w:styleId="NormalWeb">
    <w:name w:val="Normal (Web)"/>
    <w:basedOn w:val="Normal"/>
    <w:uiPriority w:val="99"/>
    <w:semiHidden/>
    <w:unhideWhenUsed/>
    <w:rsid w:val="00007D5D"/>
    <w:pPr>
      <w:widowControl/>
      <w:autoSpaceDE/>
      <w:autoSpaceDN/>
      <w:adjustRightInd/>
      <w:spacing w:before="100" w:beforeAutospacing="1" w:after="100" w:afterAutospacing="1"/>
      <w:ind w:right="0"/>
    </w:pPr>
    <w:rPr>
      <w:rFonts w:ascii="Times New Roman" w:eastAsiaTheme="minorEastAsia" w:hAnsi="Times New Roman" w:cs="Times New Roman"/>
      <w:color w:val="auto"/>
      <w:sz w:val="24"/>
    </w:rPr>
  </w:style>
  <w:style w:type="paragraph" w:customStyle="1" w:styleId="destacado">
    <w:name w:val="destacado"/>
    <w:qFormat/>
    <w:rsid w:val="008C32E3"/>
    <w:pPr>
      <w:pBdr>
        <w:left w:val="single" w:sz="4" w:space="3" w:color="D3D3D3"/>
      </w:pBdr>
      <w:ind w:left="113"/>
    </w:pPr>
    <w:rPr>
      <w:rFonts w:asciiTheme="majorHAnsi" w:eastAsia="Times" w:hAnsiTheme="majorHAnsi" w:cs="Arial"/>
      <w:noProof/>
      <w:color w:val="02A5A5"/>
      <w:szCs w:val="24"/>
    </w:rPr>
  </w:style>
  <w:style w:type="character" w:styleId="Hipervnculo">
    <w:name w:val="Hyperlink"/>
    <w:basedOn w:val="Fuentedeprrafopredeter"/>
    <w:unhideWhenUsed/>
    <w:rsid w:val="00270DCC"/>
    <w:rPr>
      <w:color w:val="004481" w:themeColor="hyperlink"/>
      <w:u w:val="single"/>
    </w:rPr>
  </w:style>
  <w:style w:type="paragraph" w:customStyle="1" w:styleId="vinculoinforme">
    <w:name w:val="vinculo informe"/>
    <w:qFormat/>
    <w:rsid w:val="00270DCC"/>
    <w:pPr>
      <w:spacing w:line="252" w:lineRule="auto"/>
    </w:pPr>
    <w:rPr>
      <w:rFonts w:asciiTheme="majorHAnsi" w:eastAsia="Times" w:hAnsiTheme="majorHAnsi" w:cs="Arial"/>
      <w:noProof/>
      <w:color w:val="1973B8" w:themeColor="accent1"/>
      <w:spacing w:val="-4"/>
      <w:sz w:val="18"/>
      <w:szCs w:val="24"/>
    </w:rPr>
  </w:style>
  <w:style w:type="paragraph" w:customStyle="1" w:styleId="antetitulo">
    <w:name w:val="antetitulo"/>
    <w:qFormat/>
    <w:rsid w:val="0046638C"/>
    <w:pPr>
      <w:spacing w:after="80"/>
    </w:pPr>
    <w:rPr>
      <w:rFonts w:asciiTheme="majorHAnsi" w:eastAsia="Times" w:hAnsiTheme="majorHAnsi" w:cs="Arial"/>
      <w:noProof/>
      <w:color w:val="072146" w:themeColor="accent4"/>
      <w:sz w:val="18"/>
      <w:szCs w:val="24"/>
    </w:rPr>
  </w:style>
  <w:style w:type="character" w:styleId="Refdecomentario">
    <w:name w:val="annotation reference"/>
    <w:basedOn w:val="Fuentedeprrafopredeter"/>
    <w:uiPriority w:val="99"/>
    <w:semiHidden/>
    <w:unhideWhenUsed/>
    <w:rsid w:val="00506A43"/>
    <w:rPr>
      <w:sz w:val="16"/>
      <w:szCs w:val="16"/>
    </w:rPr>
  </w:style>
  <w:style w:type="paragraph" w:styleId="Textocomentario">
    <w:name w:val="annotation text"/>
    <w:basedOn w:val="Normal"/>
    <w:link w:val="TextocomentarioCar"/>
    <w:uiPriority w:val="99"/>
    <w:unhideWhenUsed/>
    <w:rsid w:val="00506A43"/>
    <w:rPr>
      <w:sz w:val="20"/>
      <w:szCs w:val="20"/>
    </w:rPr>
  </w:style>
  <w:style w:type="character" w:customStyle="1" w:styleId="TextocomentarioCar">
    <w:name w:val="Texto comentario Car"/>
    <w:basedOn w:val="Fuentedeprrafopredeter"/>
    <w:link w:val="Textocomentario"/>
    <w:uiPriority w:val="99"/>
    <w:rsid w:val="00506A43"/>
    <w:rPr>
      <w:rFonts w:asciiTheme="minorHAnsi" w:eastAsia="Times" w:hAnsiTheme="minorHAnsi" w:cs="Arial"/>
      <w:noProof/>
      <w:color w:val="666666"/>
      <w:spacing w:val="-3"/>
    </w:rPr>
  </w:style>
  <w:style w:type="paragraph" w:styleId="Asuntodelcomentario">
    <w:name w:val="annotation subject"/>
    <w:basedOn w:val="Textocomentario"/>
    <w:next w:val="Textocomentario"/>
    <w:link w:val="AsuntodelcomentarioCar"/>
    <w:uiPriority w:val="99"/>
    <w:semiHidden/>
    <w:unhideWhenUsed/>
    <w:rsid w:val="00506A43"/>
    <w:rPr>
      <w:b/>
      <w:bCs/>
    </w:rPr>
  </w:style>
  <w:style w:type="character" w:customStyle="1" w:styleId="AsuntodelcomentarioCar">
    <w:name w:val="Asunto del comentario Car"/>
    <w:basedOn w:val="TextocomentarioCar"/>
    <w:link w:val="Asuntodelcomentario"/>
    <w:uiPriority w:val="99"/>
    <w:semiHidden/>
    <w:rsid w:val="00506A43"/>
    <w:rPr>
      <w:rFonts w:asciiTheme="minorHAnsi" w:eastAsia="Times" w:hAnsiTheme="minorHAnsi" w:cs="Arial"/>
      <w:b/>
      <w:bCs/>
      <w:noProof/>
      <w:color w:val="666666"/>
      <w:spacing w:val="-3"/>
    </w:rPr>
  </w:style>
  <w:style w:type="paragraph" w:styleId="Revisin">
    <w:name w:val="Revision"/>
    <w:hidden/>
    <w:uiPriority w:val="99"/>
    <w:semiHidden/>
    <w:rsid w:val="00774CB4"/>
    <w:rPr>
      <w:rFonts w:asciiTheme="minorHAnsi" w:eastAsia="Times" w:hAnsiTheme="minorHAnsi" w:cs="Arial"/>
      <w:noProof/>
      <w:color w:val="666666"/>
      <w:spacing w:val="-3"/>
      <w:sz w:val="18"/>
      <w:szCs w:val="24"/>
    </w:rPr>
  </w:style>
  <w:style w:type="paragraph" w:styleId="Textonotapie">
    <w:name w:val="footnote text"/>
    <w:basedOn w:val="Normal"/>
    <w:link w:val="TextonotapieCar"/>
    <w:uiPriority w:val="99"/>
    <w:semiHidden/>
    <w:unhideWhenUsed/>
    <w:rsid w:val="0093324F"/>
    <w:pPr>
      <w:spacing w:after="0"/>
    </w:pPr>
    <w:rPr>
      <w:sz w:val="20"/>
      <w:szCs w:val="20"/>
    </w:rPr>
  </w:style>
  <w:style w:type="character" w:customStyle="1" w:styleId="TextonotapieCar">
    <w:name w:val="Texto nota pie Car"/>
    <w:basedOn w:val="Fuentedeprrafopredeter"/>
    <w:link w:val="Textonotapie"/>
    <w:uiPriority w:val="99"/>
    <w:semiHidden/>
    <w:rsid w:val="0093324F"/>
    <w:rPr>
      <w:rFonts w:asciiTheme="minorHAnsi" w:eastAsia="Times" w:hAnsiTheme="minorHAnsi" w:cs="Arial"/>
      <w:noProof/>
      <w:color w:val="666666"/>
      <w:spacing w:val="-3"/>
    </w:rPr>
  </w:style>
  <w:style w:type="character" w:styleId="Refdenotaalpie">
    <w:name w:val="footnote reference"/>
    <w:basedOn w:val="Fuentedeprrafopredeter"/>
    <w:uiPriority w:val="99"/>
    <w:semiHidden/>
    <w:unhideWhenUsed/>
    <w:rsid w:val="0093324F"/>
    <w:rPr>
      <w:vertAlign w:val="superscript"/>
    </w:rPr>
  </w:style>
  <w:style w:type="character" w:customStyle="1" w:styleId="Mencinsinresolver1">
    <w:name w:val="Mención sin resolver1"/>
    <w:basedOn w:val="Fuentedeprrafopredeter"/>
    <w:uiPriority w:val="99"/>
    <w:semiHidden/>
    <w:unhideWhenUsed/>
    <w:rsid w:val="000F13E2"/>
    <w:rPr>
      <w:color w:val="605E5C"/>
      <w:shd w:val="clear" w:color="auto" w:fill="E1DFDD"/>
    </w:rPr>
  </w:style>
  <w:style w:type="character" w:customStyle="1" w:styleId="Mencinsinresolver2">
    <w:name w:val="Mención sin resolver2"/>
    <w:basedOn w:val="Fuentedeprrafopredeter"/>
    <w:uiPriority w:val="99"/>
    <w:semiHidden/>
    <w:unhideWhenUsed/>
    <w:rsid w:val="00316106"/>
    <w:rPr>
      <w:color w:val="605E5C"/>
      <w:shd w:val="clear" w:color="auto" w:fill="E1DFDD"/>
    </w:rPr>
  </w:style>
  <w:style w:type="character" w:styleId="Hipervnculovisitado">
    <w:name w:val="FollowedHyperlink"/>
    <w:basedOn w:val="Fuentedeprrafopredeter"/>
    <w:uiPriority w:val="99"/>
    <w:semiHidden/>
    <w:unhideWhenUsed/>
    <w:rsid w:val="001543A8"/>
    <w:rPr>
      <w:color w:val="072146" w:themeColor="followedHyperlink"/>
      <w:u w:val="single"/>
    </w:rPr>
  </w:style>
  <w:style w:type="character" w:customStyle="1" w:styleId="Mencinsinresolver3">
    <w:name w:val="Mención sin resolver3"/>
    <w:basedOn w:val="Fuentedeprrafopredeter"/>
    <w:uiPriority w:val="99"/>
    <w:semiHidden/>
    <w:unhideWhenUsed/>
    <w:rsid w:val="00776490"/>
    <w:rPr>
      <w:color w:val="605E5C"/>
      <w:shd w:val="clear" w:color="auto" w:fill="E1DFDD"/>
    </w:rPr>
  </w:style>
  <w:style w:type="character" w:customStyle="1" w:styleId="Mencinsinresolver4">
    <w:name w:val="Mención sin resolver4"/>
    <w:basedOn w:val="Fuentedeprrafopredeter"/>
    <w:uiPriority w:val="99"/>
    <w:semiHidden/>
    <w:unhideWhenUsed/>
    <w:rsid w:val="00A52510"/>
    <w:rPr>
      <w:color w:val="605E5C"/>
      <w:shd w:val="clear" w:color="auto" w:fill="E1DFDD"/>
    </w:rPr>
  </w:style>
  <w:style w:type="character" w:customStyle="1" w:styleId="Mencinsinresolver5">
    <w:name w:val="Mención sin resolver5"/>
    <w:basedOn w:val="Fuentedeprrafopredeter"/>
    <w:uiPriority w:val="99"/>
    <w:semiHidden/>
    <w:unhideWhenUsed/>
    <w:rsid w:val="00E93A75"/>
    <w:rPr>
      <w:color w:val="605E5C"/>
      <w:shd w:val="clear" w:color="auto" w:fill="E1DFDD"/>
    </w:rPr>
  </w:style>
  <w:style w:type="character" w:styleId="Mencinsinresolver">
    <w:name w:val="Unresolved Mention"/>
    <w:basedOn w:val="Fuentedeprrafopredeter"/>
    <w:uiPriority w:val="99"/>
    <w:semiHidden/>
    <w:unhideWhenUsed/>
    <w:rsid w:val="00C2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333">
      <w:bodyDiv w:val="1"/>
      <w:marLeft w:val="0"/>
      <w:marRight w:val="0"/>
      <w:marTop w:val="0"/>
      <w:marBottom w:val="0"/>
      <w:divBdr>
        <w:top w:val="none" w:sz="0" w:space="0" w:color="auto"/>
        <w:left w:val="none" w:sz="0" w:space="0" w:color="auto"/>
        <w:bottom w:val="none" w:sz="0" w:space="0" w:color="auto"/>
        <w:right w:val="none" w:sz="0" w:space="0" w:color="auto"/>
      </w:divBdr>
    </w:div>
    <w:div w:id="101154082">
      <w:bodyDiv w:val="1"/>
      <w:marLeft w:val="0"/>
      <w:marRight w:val="0"/>
      <w:marTop w:val="0"/>
      <w:marBottom w:val="0"/>
      <w:divBdr>
        <w:top w:val="none" w:sz="0" w:space="0" w:color="auto"/>
        <w:left w:val="none" w:sz="0" w:space="0" w:color="auto"/>
        <w:bottom w:val="none" w:sz="0" w:space="0" w:color="auto"/>
        <w:right w:val="none" w:sz="0" w:space="0" w:color="auto"/>
      </w:divBdr>
    </w:div>
    <w:div w:id="144906332">
      <w:bodyDiv w:val="1"/>
      <w:marLeft w:val="0"/>
      <w:marRight w:val="0"/>
      <w:marTop w:val="0"/>
      <w:marBottom w:val="0"/>
      <w:divBdr>
        <w:top w:val="none" w:sz="0" w:space="0" w:color="auto"/>
        <w:left w:val="none" w:sz="0" w:space="0" w:color="auto"/>
        <w:bottom w:val="none" w:sz="0" w:space="0" w:color="auto"/>
        <w:right w:val="none" w:sz="0" w:space="0" w:color="auto"/>
      </w:divBdr>
    </w:div>
    <w:div w:id="151026639">
      <w:bodyDiv w:val="1"/>
      <w:marLeft w:val="0"/>
      <w:marRight w:val="0"/>
      <w:marTop w:val="0"/>
      <w:marBottom w:val="0"/>
      <w:divBdr>
        <w:top w:val="none" w:sz="0" w:space="0" w:color="auto"/>
        <w:left w:val="none" w:sz="0" w:space="0" w:color="auto"/>
        <w:bottom w:val="none" w:sz="0" w:space="0" w:color="auto"/>
        <w:right w:val="none" w:sz="0" w:space="0" w:color="auto"/>
      </w:divBdr>
    </w:div>
    <w:div w:id="417022662">
      <w:bodyDiv w:val="1"/>
      <w:marLeft w:val="0"/>
      <w:marRight w:val="0"/>
      <w:marTop w:val="0"/>
      <w:marBottom w:val="0"/>
      <w:divBdr>
        <w:top w:val="none" w:sz="0" w:space="0" w:color="auto"/>
        <w:left w:val="none" w:sz="0" w:space="0" w:color="auto"/>
        <w:bottom w:val="none" w:sz="0" w:space="0" w:color="auto"/>
        <w:right w:val="none" w:sz="0" w:space="0" w:color="auto"/>
      </w:divBdr>
    </w:div>
    <w:div w:id="441455539">
      <w:bodyDiv w:val="1"/>
      <w:marLeft w:val="0"/>
      <w:marRight w:val="0"/>
      <w:marTop w:val="0"/>
      <w:marBottom w:val="0"/>
      <w:divBdr>
        <w:top w:val="none" w:sz="0" w:space="0" w:color="auto"/>
        <w:left w:val="none" w:sz="0" w:space="0" w:color="auto"/>
        <w:bottom w:val="none" w:sz="0" w:space="0" w:color="auto"/>
        <w:right w:val="none" w:sz="0" w:space="0" w:color="auto"/>
      </w:divBdr>
    </w:div>
    <w:div w:id="555312458">
      <w:bodyDiv w:val="1"/>
      <w:marLeft w:val="0"/>
      <w:marRight w:val="0"/>
      <w:marTop w:val="0"/>
      <w:marBottom w:val="0"/>
      <w:divBdr>
        <w:top w:val="none" w:sz="0" w:space="0" w:color="auto"/>
        <w:left w:val="none" w:sz="0" w:space="0" w:color="auto"/>
        <w:bottom w:val="none" w:sz="0" w:space="0" w:color="auto"/>
        <w:right w:val="none" w:sz="0" w:space="0" w:color="auto"/>
      </w:divBdr>
    </w:div>
    <w:div w:id="620458411">
      <w:bodyDiv w:val="1"/>
      <w:marLeft w:val="0"/>
      <w:marRight w:val="0"/>
      <w:marTop w:val="0"/>
      <w:marBottom w:val="0"/>
      <w:divBdr>
        <w:top w:val="none" w:sz="0" w:space="0" w:color="auto"/>
        <w:left w:val="none" w:sz="0" w:space="0" w:color="auto"/>
        <w:bottom w:val="none" w:sz="0" w:space="0" w:color="auto"/>
        <w:right w:val="none" w:sz="0" w:space="0" w:color="auto"/>
      </w:divBdr>
    </w:div>
    <w:div w:id="654728387">
      <w:bodyDiv w:val="1"/>
      <w:marLeft w:val="0"/>
      <w:marRight w:val="0"/>
      <w:marTop w:val="0"/>
      <w:marBottom w:val="0"/>
      <w:divBdr>
        <w:top w:val="none" w:sz="0" w:space="0" w:color="auto"/>
        <w:left w:val="none" w:sz="0" w:space="0" w:color="auto"/>
        <w:bottom w:val="none" w:sz="0" w:space="0" w:color="auto"/>
        <w:right w:val="none" w:sz="0" w:space="0" w:color="auto"/>
      </w:divBdr>
    </w:div>
    <w:div w:id="699819833">
      <w:bodyDiv w:val="1"/>
      <w:marLeft w:val="0"/>
      <w:marRight w:val="0"/>
      <w:marTop w:val="0"/>
      <w:marBottom w:val="0"/>
      <w:divBdr>
        <w:top w:val="none" w:sz="0" w:space="0" w:color="auto"/>
        <w:left w:val="none" w:sz="0" w:space="0" w:color="auto"/>
        <w:bottom w:val="none" w:sz="0" w:space="0" w:color="auto"/>
        <w:right w:val="none" w:sz="0" w:space="0" w:color="auto"/>
      </w:divBdr>
    </w:div>
    <w:div w:id="928738281">
      <w:bodyDiv w:val="1"/>
      <w:marLeft w:val="0"/>
      <w:marRight w:val="0"/>
      <w:marTop w:val="0"/>
      <w:marBottom w:val="0"/>
      <w:divBdr>
        <w:top w:val="none" w:sz="0" w:space="0" w:color="auto"/>
        <w:left w:val="none" w:sz="0" w:space="0" w:color="auto"/>
        <w:bottom w:val="none" w:sz="0" w:space="0" w:color="auto"/>
        <w:right w:val="none" w:sz="0" w:space="0" w:color="auto"/>
      </w:divBdr>
    </w:div>
    <w:div w:id="1011031566">
      <w:bodyDiv w:val="1"/>
      <w:marLeft w:val="0"/>
      <w:marRight w:val="0"/>
      <w:marTop w:val="0"/>
      <w:marBottom w:val="0"/>
      <w:divBdr>
        <w:top w:val="none" w:sz="0" w:space="0" w:color="auto"/>
        <w:left w:val="none" w:sz="0" w:space="0" w:color="auto"/>
        <w:bottom w:val="none" w:sz="0" w:space="0" w:color="auto"/>
        <w:right w:val="none" w:sz="0" w:space="0" w:color="auto"/>
      </w:divBdr>
    </w:div>
    <w:div w:id="1054964566">
      <w:bodyDiv w:val="1"/>
      <w:marLeft w:val="0"/>
      <w:marRight w:val="0"/>
      <w:marTop w:val="0"/>
      <w:marBottom w:val="0"/>
      <w:divBdr>
        <w:top w:val="none" w:sz="0" w:space="0" w:color="auto"/>
        <w:left w:val="none" w:sz="0" w:space="0" w:color="auto"/>
        <w:bottom w:val="none" w:sz="0" w:space="0" w:color="auto"/>
        <w:right w:val="none" w:sz="0" w:space="0" w:color="auto"/>
      </w:divBdr>
    </w:div>
    <w:div w:id="1067536267">
      <w:bodyDiv w:val="1"/>
      <w:marLeft w:val="0"/>
      <w:marRight w:val="0"/>
      <w:marTop w:val="0"/>
      <w:marBottom w:val="0"/>
      <w:divBdr>
        <w:top w:val="none" w:sz="0" w:space="0" w:color="auto"/>
        <w:left w:val="none" w:sz="0" w:space="0" w:color="auto"/>
        <w:bottom w:val="none" w:sz="0" w:space="0" w:color="auto"/>
        <w:right w:val="none" w:sz="0" w:space="0" w:color="auto"/>
      </w:divBdr>
    </w:div>
    <w:div w:id="1109280319">
      <w:bodyDiv w:val="1"/>
      <w:marLeft w:val="0"/>
      <w:marRight w:val="0"/>
      <w:marTop w:val="0"/>
      <w:marBottom w:val="0"/>
      <w:divBdr>
        <w:top w:val="none" w:sz="0" w:space="0" w:color="auto"/>
        <w:left w:val="none" w:sz="0" w:space="0" w:color="auto"/>
        <w:bottom w:val="none" w:sz="0" w:space="0" w:color="auto"/>
        <w:right w:val="none" w:sz="0" w:space="0" w:color="auto"/>
      </w:divBdr>
    </w:div>
    <w:div w:id="1223830107">
      <w:bodyDiv w:val="1"/>
      <w:marLeft w:val="0"/>
      <w:marRight w:val="0"/>
      <w:marTop w:val="0"/>
      <w:marBottom w:val="0"/>
      <w:divBdr>
        <w:top w:val="none" w:sz="0" w:space="0" w:color="auto"/>
        <w:left w:val="none" w:sz="0" w:space="0" w:color="auto"/>
        <w:bottom w:val="none" w:sz="0" w:space="0" w:color="auto"/>
        <w:right w:val="none" w:sz="0" w:space="0" w:color="auto"/>
      </w:divBdr>
    </w:div>
    <w:div w:id="1253078419">
      <w:bodyDiv w:val="1"/>
      <w:marLeft w:val="0"/>
      <w:marRight w:val="0"/>
      <w:marTop w:val="0"/>
      <w:marBottom w:val="0"/>
      <w:divBdr>
        <w:top w:val="none" w:sz="0" w:space="0" w:color="auto"/>
        <w:left w:val="none" w:sz="0" w:space="0" w:color="auto"/>
        <w:bottom w:val="none" w:sz="0" w:space="0" w:color="auto"/>
        <w:right w:val="none" w:sz="0" w:space="0" w:color="auto"/>
      </w:divBdr>
    </w:div>
    <w:div w:id="1525703364">
      <w:bodyDiv w:val="1"/>
      <w:marLeft w:val="0"/>
      <w:marRight w:val="0"/>
      <w:marTop w:val="0"/>
      <w:marBottom w:val="0"/>
      <w:divBdr>
        <w:top w:val="none" w:sz="0" w:space="0" w:color="auto"/>
        <w:left w:val="none" w:sz="0" w:space="0" w:color="auto"/>
        <w:bottom w:val="none" w:sz="0" w:space="0" w:color="auto"/>
        <w:right w:val="none" w:sz="0" w:space="0" w:color="auto"/>
      </w:divBdr>
    </w:div>
    <w:div w:id="1606185600">
      <w:bodyDiv w:val="1"/>
      <w:marLeft w:val="0"/>
      <w:marRight w:val="0"/>
      <w:marTop w:val="0"/>
      <w:marBottom w:val="0"/>
      <w:divBdr>
        <w:top w:val="none" w:sz="0" w:space="0" w:color="auto"/>
        <w:left w:val="none" w:sz="0" w:space="0" w:color="auto"/>
        <w:bottom w:val="none" w:sz="0" w:space="0" w:color="auto"/>
        <w:right w:val="none" w:sz="0" w:space="0" w:color="auto"/>
      </w:divBdr>
    </w:div>
    <w:div w:id="1642808915">
      <w:bodyDiv w:val="1"/>
      <w:marLeft w:val="0"/>
      <w:marRight w:val="0"/>
      <w:marTop w:val="0"/>
      <w:marBottom w:val="0"/>
      <w:divBdr>
        <w:top w:val="none" w:sz="0" w:space="0" w:color="auto"/>
        <w:left w:val="none" w:sz="0" w:space="0" w:color="auto"/>
        <w:bottom w:val="none" w:sz="0" w:space="0" w:color="auto"/>
        <w:right w:val="none" w:sz="0" w:space="0" w:color="auto"/>
      </w:divBdr>
    </w:div>
    <w:div w:id="1646010055">
      <w:bodyDiv w:val="1"/>
      <w:marLeft w:val="0"/>
      <w:marRight w:val="0"/>
      <w:marTop w:val="0"/>
      <w:marBottom w:val="0"/>
      <w:divBdr>
        <w:top w:val="none" w:sz="0" w:space="0" w:color="auto"/>
        <w:left w:val="none" w:sz="0" w:space="0" w:color="auto"/>
        <w:bottom w:val="none" w:sz="0" w:space="0" w:color="auto"/>
        <w:right w:val="none" w:sz="0" w:space="0" w:color="auto"/>
      </w:divBdr>
    </w:div>
    <w:div w:id="1704863058">
      <w:bodyDiv w:val="1"/>
      <w:marLeft w:val="0"/>
      <w:marRight w:val="0"/>
      <w:marTop w:val="0"/>
      <w:marBottom w:val="0"/>
      <w:divBdr>
        <w:top w:val="none" w:sz="0" w:space="0" w:color="auto"/>
        <w:left w:val="none" w:sz="0" w:space="0" w:color="auto"/>
        <w:bottom w:val="none" w:sz="0" w:space="0" w:color="auto"/>
        <w:right w:val="none" w:sz="0" w:space="0" w:color="auto"/>
      </w:divBdr>
    </w:div>
    <w:div w:id="1715353647">
      <w:bodyDiv w:val="1"/>
      <w:marLeft w:val="0"/>
      <w:marRight w:val="0"/>
      <w:marTop w:val="0"/>
      <w:marBottom w:val="0"/>
      <w:divBdr>
        <w:top w:val="none" w:sz="0" w:space="0" w:color="auto"/>
        <w:left w:val="none" w:sz="0" w:space="0" w:color="auto"/>
        <w:bottom w:val="none" w:sz="0" w:space="0" w:color="auto"/>
        <w:right w:val="none" w:sz="0" w:space="0" w:color="auto"/>
      </w:divBdr>
    </w:div>
    <w:div w:id="1723095712">
      <w:bodyDiv w:val="1"/>
      <w:marLeft w:val="0"/>
      <w:marRight w:val="0"/>
      <w:marTop w:val="0"/>
      <w:marBottom w:val="0"/>
      <w:divBdr>
        <w:top w:val="none" w:sz="0" w:space="0" w:color="auto"/>
        <w:left w:val="none" w:sz="0" w:space="0" w:color="auto"/>
        <w:bottom w:val="none" w:sz="0" w:space="0" w:color="auto"/>
        <w:right w:val="none" w:sz="0" w:space="0" w:color="auto"/>
      </w:divBdr>
    </w:div>
    <w:div w:id="2078626065">
      <w:bodyDiv w:val="1"/>
      <w:marLeft w:val="0"/>
      <w:marRight w:val="0"/>
      <w:marTop w:val="0"/>
      <w:marBottom w:val="0"/>
      <w:divBdr>
        <w:top w:val="none" w:sz="0" w:space="0" w:color="auto"/>
        <w:left w:val="none" w:sz="0" w:space="0" w:color="auto"/>
        <w:bottom w:val="none" w:sz="0" w:space="0" w:color="auto"/>
        <w:right w:val="none" w:sz="0" w:space="0" w:color="auto"/>
      </w:divBdr>
    </w:div>
    <w:div w:id="212025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bbva.es/wp-content/uploads/2025/07/Grafico02_Esenciales03_2025.xlsm"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fbbva.es/wp-content/uploads/2025/07/Grafico04_Esenciales03_2025.xlsx"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bva.es/wp-content/uploads/2025/07/Grafico01_Esenciales03_2025.xlsx" TargetMode="External"/><Relationship Id="rId5" Type="http://schemas.openxmlformats.org/officeDocument/2006/relationships/webSettings" Target="webSettings.xml"/><Relationship Id="rId15" Type="http://schemas.openxmlformats.org/officeDocument/2006/relationships/hyperlink" Target="https://www.fbbva.es/wp-content/uploads/2025/07/Grafico03_Esenciales03_2025.xlsm"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bbva.es/publicaciones/presente-y-futuro-de-la-juventud-en-esp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5433\Documents\01_TRABAJO\02_COMMUNICATIONS\2019\ED0181_Plantilla%20NP%20Resultados_Marta%20Pardo_15jul19\Nota%20de%20prensa%20NB_edi.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sserver.ivie.local\edicion\BBVA_P150600-FBBVA-IvieEsenciales\Clave64_jubilacionjovenes_EDevesa\Grafico%201%20tasa_ocupacio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4e28c65eb67bbc09/Escritorio/Grupo%20pensiones%20abri%202024/IVIE/C&#225;lculo%20base%20reguladora%20para%20tasa%20reemplazo%20Willis.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asserver.ivie.local\edicion\BBVA_P150600-FBBVA-IvieEsenciales\Clave64_jubilacionjovenes_EDevesa\Grafico%204%20precariedad%20jovene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193352204600792E-2"/>
          <c:y val="0.1459818476888862"/>
          <c:w val="0.88571088641392348"/>
          <c:h val="0.71971930035463128"/>
        </c:manualLayout>
      </c:layout>
      <c:lineChart>
        <c:grouping val="standard"/>
        <c:varyColors val="0"/>
        <c:ser>
          <c:idx val="0"/>
          <c:order val="0"/>
          <c:tx>
            <c:strRef>
              <c:f>ocupados!$A$31</c:f>
              <c:strCache>
                <c:ptCount val="1"/>
                <c:pt idx="0">
                  <c:v>De 16 a 29 años</c:v>
                </c:pt>
              </c:strCache>
            </c:strRef>
          </c:tx>
          <c:spPr>
            <a:ln w="28575" cap="rnd">
              <a:solidFill>
                <a:srgbClr val="1464A5"/>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23-4691-894A-F9E910D64FA8}"/>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23-4691-894A-F9E910D64FA8}"/>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ocupados!$AF$30:$AW$30</c:f>
              <c:numCache>
                <c:formatCode>0</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ocupados!$AF$31:$AW$31</c:f>
              <c:numCache>
                <c:formatCode>0.0</c:formatCode>
                <c:ptCount val="18"/>
                <c:pt idx="0">
                  <c:v>58.664269045924591</c:v>
                </c:pt>
                <c:pt idx="1">
                  <c:v>55.203409182984018</c:v>
                </c:pt>
                <c:pt idx="2">
                  <c:v>46.913772688427677</c:v>
                </c:pt>
                <c:pt idx="3">
                  <c:v>43.751017258944465</c:v>
                </c:pt>
                <c:pt idx="4">
                  <c:v>40.899401326093439</c:v>
                </c:pt>
                <c:pt idx="5">
                  <c:v>36.569117750867228</c:v>
                </c:pt>
                <c:pt idx="6">
                  <c:v>34.581461837571538</c:v>
                </c:pt>
                <c:pt idx="7">
                  <c:v>35.236312995240681</c:v>
                </c:pt>
                <c:pt idx="8">
                  <c:v>36.086105425255496</c:v>
                </c:pt>
                <c:pt idx="9">
                  <c:v>37.05102938269296</c:v>
                </c:pt>
                <c:pt idx="10">
                  <c:v>39.161185698470177</c:v>
                </c:pt>
                <c:pt idx="11">
                  <c:v>40.4916159998252</c:v>
                </c:pt>
                <c:pt idx="12">
                  <c:v>40.949291552991575</c:v>
                </c:pt>
                <c:pt idx="13">
                  <c:v>36.443617315378269</c:v>
                </c:pt>
                <c:pt idx="14">
                  <c:v>38.924065174339418</c:v>
                </c:pt>
                <c:pt idx="15">
                  <c:v>41.708577062013617</c:v>
                </c:pt>
                <c:pt idx="16">
                  <c:v>42.667486514435851</c:v>
                </c:pt>
                <c:pt idx="17">
                  <c:v>43.156055742900094</c:v>
                </c:pt>
              </c:numCache>
            </c:numRef>
          </c:val>
          <c:smooth val="0"/>
          <c:extLst>
            <c:ext xmlns:c16="http://schemas.microsoft.com/office/drawing/2014/chart" uri="{C3380CC4-5D6E-409C-BE32-E72D297353CC}">
              <c16:uniqueId val="{00000002-D523-4691-894A-F9E910D64FA8}"/>
            </c:ext>
          </c:extLst>
        </c:ser>
        <c:ser>
          <c:idx val="1"/>
          <c:order val="1"/>
          <c:tx>
            <c:strRef>
              <c:f>ocupados!$A$32</c:f>
              <c:strCache>
                <c:ptCount val="1"/>
                <c:pt idx="0">
                  <c:v>De 16 a 19 años</c:v>
                </c:pt>
              </c:strCache>
            </c:strRef>
          </c:tx>
          <c:spPr>
            <a:ln w="28575" cap="rnd">
              <a:solidFill>
                <a:srgbClr val="F7893B"/>
              </a:solidFill>
              <a:round/>
            </a:ln>
            <a:effectLst/>
          </c:spPr>
          <c:marker>
            <c:symbol val="none"/>
          </c:marker>
          <c:val>
            <c:numRef>
              <c:f>ocupados!$AF$32:$AW$32</c:f>
              <c:numCache>
                <c:formatCode>0.0</c:formatCode>
                <c:ptCount val="18"/>
                <c:pt idx="0">
                  <c:v>21.301219243780487</c:v>
                </c:pt>
                <c:pt idx="1">
                  <c:v>17.651457079902389</c:v>
                </c:pt>
                <c:pt idx="2">
                  <c:v>11.056556671574958</c:v>
                </c:pt>
                <c:pt idx="3">
                  <c:v>8.3290170347257213</c:v>
                </c:pt>
                <c:pt idx="4">
                  <c:v>6.9409158941061335</c:v>
                </c:pt>
                <c:pt idx="5">
                  <c:v>4.7870663285842152</c:v>
                </c:pt>
                <c:pt idx="6">
                  <c:v>4.3199763172588197</c:v>
                </c:pt>
                <c:pt idx="7">
                  <c:v>4.6428565167402613</c:v>
                </c:pt>
                <c:pt idx="8">
                  <c:v>4.8723320884744199</c:v>
                </c:pt>
                <c:pt idx="9">
                  <c:v>5.489923427620826</c:v>
                </c:pt>
                <c:pt idx="10">
                  <c:v>6.6280629443639327</c:v>
                </c:pt>
                <c:pt idx="11">
                  <c:v>7.3551774814525626</c:v>
                </c:pt>
                <c:pt idx="12">
                  <c:v>8.0221408545460413</c:v>
                </c:pt>
                <c:pt idx="13">
                  <c:v>5.5393027005023816</c:v>
                </c:pt>
                <c:pt idx="14">
                  <c:v>6.4996841822221789</c:v>
                </c:pt>
                <c:pt idx="15">
                  <c:v>7.8807553199172053</c:v>
                </c:pt>
                <c:pt idx="16">
                  <c:v>8.2381889763779519</c:v>
                </c:pt>
                <c:pt idx="17">
                  <c:v>9.1290611590512576</c:v>
                </c:pt>
              </c:numCache>
            </c:numRef>
          </c:val>
          <c:smooth val="0"/>
          <c:extLst>
            <c:ext xmlns:c16="http://schemas.microsoft.com/office/drawing/2014/chart" uri="{C3380CC4-5D6E-409C-BE32-E72D297353CC}">
              <c16:uniqueId val="{00000003-D523-4691-894A-F9E910D64FA8}"/>
            </c:ext>
          </c:extLst>
        </c:ser>
        <c:ser>
          <c:idx val="2"/>
          <c:order val="2"/>
          <c:tx>
            <c:strRef>
              <c:f>ocupados!$A$33</c:f>
              <c:strCache>
                <c:ptCount val="1"/>
                <c:pt idx="0">
                  <c:v>De 20 a 24 años</c:v>
                </c:pt>
              </c:strCache>
            </c:strRef>
          </c:tx>
          <c:spPr>
            <a:ln w="28575" cap="rnd">
              <a:solidFill>
                <a:srgbClr val="D8BE75"/>
              </a:solidFill>
              <a:round/>
            </a:ln>
            <a:effectLst/>
          </c:spPr>
          <c:marker>
            <c:symbol val="none"/>
          </c:marker>
          <c:val>
            <c:numRef>
              <c:f>ocupados!$AF$33:$AW$33</c:f>
              <c:numCache>
                <c:formatCode>0.0</c:formatCode>
                <c:ptCount val="18"/>
                <c:pt idx="0">
                  <c:v>57.379345447312623</c:v>
                </c:pt>
                <c:pt idx="1">
                  <c:v>54.396659353119695</c:v>
                </c:pt>
                <c:pt idx="2">
                  <c:v>44.379557025378716</c:v>
                </c:pt>
                <c:pt idx="3">
                  <c:v>40.812826756188436</c:v>
                </c:pt>
                <c:pt idx="4">
                  <c:v>36.424344875431196</c:v>
                </c:pt>
                <c:pt idx="5">
                  <c:v>31.294654501513964</c:v>
                </c:pt>
                <c:pt idx="6">
                  <c:v>28.822767238904024</c:v>
                </c:pt>
                <c:pt idx="7">
                  <c:v>28.720447097359436</c:v>
                </c:pt>
                <c:pt idx="8">
                  <c:v>31.427908888208357</c:v>
                </c:pt>
                <c:pt idx="9">
                  <c:v>32.184854130373452</c:v>
                </c:pt>
                <c:pt idx="10">
                  <c:v>35.883033323772388</c:v>
                </c:pt>
                <c:pt idx="11">
                  <c:v>37.911504261595788</c:v>
                </c:pt>
                <c:pt idx="12">
                  <c:v>38.590026370660517</c:v>
                </c:pt>
                <c:pt idx="13">
                  <c:v>32.959546977967278</c:v>
                </c:pt>
                <c:pt idx="14">
                  <c:v>36.43538041746892</c:v>
                </c:pt>
                <c:pt idx="15">
                  <c:v>40.281739698979941</c:v>
                </c:pt>
                <c:pt idx="16">
                  <c:v>41.088172720825789</c:v>
                </c:pt>
                <c:pt idx="17">
                  <c:v>42.589911612313323</c:v>
                </c:pt>
              </c:numCache>
            </c:numRef>
          </c:val>
          <c:smooth val="0"/>
          <c:extLst>
            <c:ext xmlns:c16="http://schemas.microsoft.com/office/drawing/2014/chart" uri="{C3380CC4-5D6E-409C-BE32-E72D297353CC}">
              <c16:uniqueId val="{00000004-D523-4691-894A-F9E910D64FA8}"/>
            </c:ext>
          </c:extLst>
        </c:ser>
        <c:ser>
          <c:idx val="3"/>
          <c:order val="3"/>
          <c:tx>
            <c:strRef>
              <c:f>ocupados!$A$34</c:f>
              <c:strCache>
                <c:ptCount val="1"/>
                <c:pt idx="0">
                  <c:v>De 25 a 29 años</c:v>
                </c:pt>
              </c:strCache>
            </c:strRef>
          </c:tx>
          <c:spPr>
            <a:ln w="28575" cap="rnd">
              <a:solidFill>
                <a:srgbClr val="2DCCCD"/>
              </a:solidFill>
              <a:round/>
            </a:ln>
            <a:effectLst/>
          </c:spPr>
          <c:marker>
            <c:symbol val="none"/>
          </c:marker>
          <c:val>
            <c:numRef>
              <c:f>ocupados!$AF$34:$AW$34</c:f>
              <c:numCache>
                <c:formatCode>0.0</c:formatCode>
                <c:ptCount val="18"/>
                <c:pt idx="0">
                  <c:v>78.561444638754182</c:v>
                </c:pt>
                <c:pt idx="1">
                  <c:v>75.225703134202035</c:v>
                </c:pt>
                <c:pt idx="2">
                  <c:v>68.007787139027982</c:v>
                </c:pt>
                <c:pt idx="3">
                  <c:v>65.626404779447427</c:v>
                </c:pt>
                <c:pt idx="4">
                  <c:v>63.916398711543657</c:v>
                </c:pt>
                <c:pt idx="5">
                  <c:v>59.751255736132315</c:v>
                </c:pt>
                <c:pt idx="6">
                  <c:v>58.07835284081402</c:v>
                </c:pt>
                <c:pt idx="7">
                  <c:v>60.484519249938984</c:v>
                </c:pt>
                <c:pt idx="8">
                  <c:v>60.946664509252891</c:v>
                </c:pt>
                <c:pt idx="9">
                  <c:v>63.298367705524242</c:v>
                </c:pt>
                <c:pt idx="10">
                  <c:v>65.39163280440323</c:v>
                </c:pt>
                <c:pt idx="11">
                  <c:v>67.001386120288956</c:v>
                </c:pt>
                <c:pt idx="12">
                  <c:v>67.663000794186118</c:v>
                </c:pt>
                <c:pt idx="13">
                  <c:v>63.235350475220656</c:v>
                </c:pt>
                <c:pt idx="14">
                  <c:v>66.563113747741482</c:v>
                </c:pt>
                <c:pt idx="15">
                  <c:v>70.125606150313516</c:v>
                </c:pt>
                <c:pt idx="16">
                  <c:v>71.275525990099027</c:v>
                </c:pt>
                <c:pt idx="17">
                  <c:v>71.069587628865975</c:v>
                </c:pt>
              </c:numCache>
            </c:numRef>
          </c:val>
          <c:smooth val="0"/>
          <c:extLst>
            <c:ext xmlns:c16="http://schemas.microsoft.com/office/drawing/2014/chart" uri="{C3380CC4-5D6E-409C-BE32-E72D297353CC}">
              <c16:uniqueId val="{00000005-D523-4691-894A-F9E910D64FA8}"/>
            </c:ext>
          </c:extLst>
        </c:ser>
        <c:dLbls>
          <c:showLegendKey val="0"/>
          <c:showVal val="0"/>
          <c:showCatName val="0"/>
          <c:showSerName val="0"/>
          <c:showPercent val="0"/>
          <c:showBubbleSize val="0"/>
        </c:dLbls>
        <c:smooth val="0"/>
        <c:axId val="1040496400"/>
        <c:axId val="1040512240"/>
      </c:lineChart>
      <c:catAx>
        <c:axId val="104049640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1040512240"/>
        <c:crosses val="autoZero"/>
        <c:auto val="1"/>
        <c:lblAlgn val="ctr"/>
        <c:lblOffset val="100"/>
        <c:noMultiLvlLbl val="0"/>
      </c:catAx>
      <c:valAx>
        <c:axId val="1040512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1040496400"/>
        <c:crosses val="autoZero"/>
        <c:crossBetween val="midCat"/>
      </c:valAx>
      <c:spPr>
        <a:noFill/>
        <a:ln>
          <a:noFill/>
        </a:ln>
        <a:effectLst/>
      </c:spPr>
    </c:plotArea>
    <c:legend>
      <c:legendPos val="b"/>
      <c:layout>
        <c:manualLayout>
          <c:xMode val="edge"/>
          <c:yMode val="edge"/>
          <c:x val="9.870023115242486E-3"/>
          <c:y val="3.0605348944999706E-4"/>
          <c:w val="0.98810924733309435"/>
          <c:h val="0.1110073931598244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latin typeface="+mn-lt"/>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1563430944758E-2"/>
          <c:y val="0.237325661215425"/>
          <c:w val="0.88994881526235814"/>
          <c:h val="0.6535093561066061"/>
        </c:manualLayout>
      </c:layout>
      <c:barChart>
        <c:barDir val="col"/>
        <c:grouping val="clustered"/>
        <c:varyColors val="0"/>
        <c:ser>
          <c:idx val="1"/>
          <c:order val="0"/>
          <c:tx>
            <c:strRef>
              <c:f>'Bases mensuales'!$SI$145</c:f>
              <c:strCache>
                <c:ptCount val="1"/>
                <c:pt idx="0">
                  <c:v>2065 Bases máximas</c:v>
                </c:pt>
              </c:strCache>
            </c:strRef>
          </c:tx>
          <c:spPr>
            <a:solidFill>
              <a:srgbClr val="D8BE75"/>
            </a:solidFill>
            <a:ln>
              <a:noFill/>
            </a:ln>
            <a:effectLst/>
          </c:spPr>
          <c:invertIfNegative val="0"/>
          <c:dLbls>
            <c:dLbl>
              <c:idx val="2"/>
              <c:tx>
                <c:rich>
                  <a:bodyPr/>
                  <a:lstStyle/>
                  <a:p>
                    <a:fld id="{F55C917F-E974-4CC7-81ED-78BEDDAB9791}" type="VALUE">
                      <a:rPr lang="en-US">
                        <a:solidFill>
                          <a:schemeClr val="bg1"/>
                        </a:solidFill>
                      </a:rPr>
                      <a:pPr/>
                      <a:t>[VALOR]</a:t>
                    </a:fld>
                    <a:endParaRPr lang="es-E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51F-402C-A6A6-D9892C6A01B8}"/>
                </c:ext>
              </c:extLst>
            </c:dLbl>
            <c:dLbl>
              <c:idx val="5"/>
              <c:tx>
                <c:rich>
                  <a:bodyPr/>
                  <a:lstStyle/>
                  <a:p>
                    <a:fld id="{BF1F78C4-0F94-4EA0-B90A-0FCA48921FA8}" type="VALUE">
                      <a:rPr lang="en-US">
                        <a:solidFill>
                          <a:schemeClr val="bg1"/>
                        </a:solidFill>
                      </a:rPr>
                      <a:pPr/>
                      <a:t>[VALOR]</a:t>
                    </a:fld>
                    <a:endParaRPr lang="es-E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1F-402C-A6A6-D9892C6A01B8}"/>
                </c:ext>
              </c:extLst>
            </c:dLbl>
            <c:dLbl>
              <c:idx val="8"/>
              <c:tx>
                <c:rich>
                  <a:bodyPr/>
                  <a:lstStyle/>
                  <a:p>
                    <a:fld id="{08D39E65-B6B9-4731-A4FE-3DFD094A056E}" type="VALUE">
                      <a:rPr lang="en-US">
                        <a:solidFill>
                          <a:schemeClr val="bg1"/>
                        </a:solidFill>
                      </a:rPr>
                      <a:pPr/>
                      <a:t>[VALOR]</a:t>
                    </a:fld>
                    <a:endParaRPr lang="es-E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51F-402C-A6A6-D9892C6A01B8}"/>
                </c:ext>
              </c:extLst>
            </c:dLbl>
            <c:spPr>
              <a:noFill/>
              <a:ln>
                <a:noFill/>
              </a:ln>
              <a:effectLst/>
            </c:spPr>
            <c:txPr>
              <a:bodyPr rot="-5400000" spcFirstLastPara="1" vertOverflow="ellipsis" wrap="square" anchor="t" anchorCtr="0"/>
              <a:lstStyle/>
              <a:p>
                <a:pPr>
                  <a:defRPr sz="6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mensuales'!$SI$146:$SI$154</c:f>
              <c:numCache>
                <c:formatCode>General</c:formatCode>
                <c:ptCount val="9"/>
                <c:pt idx="2" formatCode="0.0%">
                  <c:v>0.64772232158791654</c:v>
                </c:pt>
                <c:pt idx="5" formatCode="0.0%">
                  <c:v>0.64772232158791654</c:v>
                </c:pt>
                <c:pt idx="8" formatCode="0.0%">
                  <c:v>0.64772232158791654</c:v>
                </c:pt>
              </c:numCache>
            </c:numRef>
          </c:val>
          <c:extLst>
            <c:ext xmlns:c16="http://schemas.microsoft.com/office/drawing/2014/chart" uri="{C3380CC4-5D6E-409C-BE32-E72D297353CC}">
              <c16:uniqueId val="{00000003-551F-402C-A6A6-D9892C6A01B8}"/>
            </c:ext>
          </c:extLst>
        </c:ser>
        <c:ser>
          <c:idx val="7"/>
          <c:order val="2"/>
          <c:tx>
            <c:strRef>
              <c:f>'Bases mensuales'!$SK$145</c:f>
              <c:strCache>
                <c:ptCount val="1"/>
                <c:pt idx="0">
                  <c:v>2065 Bases medias</c:v>
                </c:pt>
              </c:strCache>
            </c:strRef>
          </c:tx>
          <c:spPr>
            <a:solidFill>
              <a:srgbClr val="F7893B"/>
            </a:solidFill>
            <a:ln>
              <a:noFill/>
            </a:ln>
            <a:effectLst/>
          </c:spPr>
          <c:invertIfNegative val="0"/>
          <c:dLbls>
            <c:spPr>
              <a:noFill/>
              <a:ln>
                <a:noFill/>
              </a:ln>
              <a:effectLst/>
            </c:spPr>
            <c:txPr>
              <a:bodyPr rot="-5400000" spcFirstLastPara="1" vertOverflow="ellipsis" wrap="square" anchor="ctr" anchorCtr="1"/>
              <a:lstStyle/>
              <a:p>
                <a:pPr>
                  <a:defRPr sz="600" b="0" i="0" u="none" strike="noStrike" kern="1200" baseline="0">
                    <a:solidFill>
                      <a:schemeClr val="bg1"/>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mensuales'!$SK$146:$SK$154</c:f>
              <c:numCache>
                <c:formatCode>0.0%</c:formatCode>
                <c:ptCount val="9"/>
                <c:pt idx="1">
                  <c:v>0.75302721308707932</c:v>
                </c:pt>
                <c:pt idx="4">
                  <c:v>0.85498101628414203</c:v>
                </c:pt>
                <c:pt idx="7">
                  <c:v>0.89433160699178049</c:v>
                </c:pt>
              </c:numCache>
            </c:numRef>
          </c:val>
          <c:extLst>
            <c:ext xmlns:c16="http://schemas.microsoft.com/office/drawing/2014/chart" uri="{C3380CC4-5D6E-409C-BE32-E72D297353CC}">
              <c16:uniqueId val="{00000007-551F-402C-A6A6-D9892C6A01B8}"/>
            </c:ext>
          </c:extLst>
        </c:ser>
        <c:ser>
          <c:idx val="4"/>
          <c:order val="4"/>
          <c:tx>
            <c:strRef>
              <c:f>'Bases mensuales'!$SM$145</c:f>
              <c:strCache>
                <c:ptCount val="1"/>
                <c:pt idx="0">
                  <c:v>2065 Bases mínimas</c:v>
                </c:pt>
              </c:strCache>
            </c:strRef>
          </c:tx>
          <c:spPr>
            <a:solidFill>
              <a:srgbClr val="5BBEFF"/>
            </a:solidFill>
            <a:ln>
              <a:noFill/>
            </a:ln>
            <a:effectLst/>
          </c:spPr>
          <c:invertIfNegative val="0"/>
          <c:dLbls>
            <c:spPr>
              <a:noFill/>
              <a:ln>
                <a:noFill/>
              </a:ln>
              <a:effectLst/>
            </c:spPr>
            <c:txPr>
              <a:bodyPr rot="-5400000" spcFirstLastPara="1" vertOverflow="ellipsis" wrap="square" anchor="ctr" anchorCtr="1"/>
              <a:lstStyle/>
              <a:p>
                <a:pPr>
                  <a:defRPr sz="600" b="0" i="0" u="none" strike="noStrike" kern="1200" baseline="0">
                    <a:solidFill>
                      <a:schemeClr val="bg1"/>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mensuales'!$SM$146:$SM$154</c:f>
              <c:numCache>
                <c:formatCode>General</c:formatCode>
                <c:ptCount val="9"/>
                <c:pt idx="0" formatCode="0.0%">
                  <c:v>0.79627747313703845</c:v>
                </c:pt>
                <c:pt idx="3" formatCode="0.0%">
                  <c:v>0.85498101628414225</c:v>
                </c:pt>
                <c:pt idx="6" formatCode="0.0%">
                  <c:v>0.89433160699178049</c:v>
                </c:pt>
              </c:numCache>
            </c:numRef>
          </c:val>
          <c:extLst>
            <c:ext xmlns:c16="http://schemas.microsoft.com/office/drawing/2014/chart" uri="{C3380CC4-5D6E-409C-BE32-E72D297353CC}">
              <c16:uniqueId val="{0000000B-551F-402C-A6A6-D9892C6A01B8}"/>
            </c:ext>
          </c:extLst>
        </c:ser>
        <c:dLbls>
          <c:showLegendKey val="0"/>
          <c:showVal val="0"/>
          <c:showCatName val="0"/>
          <c:showSerName val="0"/>
          <c:showPercent val="0"/>
          <c:showBubbleSize val="0"/>
        </c:dLbls>
        <c:gapWidth val="0"/>
        <c:overlap val="75"/>
        <c:axId val="1202579727"/>
        <c:axId val="1202580687"/>
      </c:barChart>
      <c:lineChart>
        <c:grouping val="standard"/>
        <c:varyColors val="0"/>
        <c:ser>
          <c:idx val="0"/>
          <c:order val="1"/>
          <c:tx>
            <c:strRef>
              <c:f>'Bases mensuales'!$SH$145</c:f>
              <c:strCache>
                <c:ptCount val="1"/>
                <c:pt idx="0">
                  <c:v>2025 Bases máximas</c:v>
                </c:pt>
              </c:strCache>
            </c:strRef>
          </c:tx>
          <c:spPr>
            <a:ln w="28575" cap="rnd">
              <a:noFill/>
              <a:round/>
            </a:ln>
            <a:effectLst/>
          </c:spPr>
          <c:marker>
            <c:symbol val="triangle"/>
            <c:size val="5"/>
            <c:spPr>
              <a:solidFill>
                <a:sysClr val="window" lastClr="FFFFFF"/>
              </a:solidFill>
              <a:ln w="9525">
                <a:solidFill>
                  <a:srgbClr val="196B24"/>
                </a:solidFill>
              </a:ln>
              <a:effectLst/>
            </c:spPr>
          </c:marker>
          <c:dLbls>
            <c:dLbl>
              <c:idx val="2"/>
              <c:layout>
                <c:manualLayout>
                  <c:x val="-6.3457987072945518E-2"/>
                  <c:y val="-0.12432587717580079"/>
                </c:manualLayout>
              </c:layout>
              <c:tx>
                <c:rich>
                  <a:bodyPr/>
                  <a:lstStyle/>
                  <a:p>
                    <a:fld id="{BE5A90D8-EFC1-46EF-B6F5-FE05A08A6653}" type="VALUE">
                      <a:rPr lang="en-US">
                        <a:solidFill>
                          <a:sysClr val="windowText" lastClr="000000"/>
                        </a:solidFill>
                      </a:rPr>
                      <a:pPr/>
                      <a:t>[VALOR]</a:t>
                    </a:fld>
                    <a:endParaRPr lang="es-E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551F-402C-A6A6-D9892C6A01B8}"/>
                </c:ext>
              </c:extLst>
            </c:dLbl>
            <c:dLbl>
              <c:idx val="5"/>
              <c:layout>
                <c:manualLayout>
                  <c:x val="-5.3755062126929508E-2"/>
                  <c:y val="-0.1191369269139865"/>
                </c:manualLayout>
              </c:layout>
              <c:tx>
                <c:rich>
                  <a:bodyPr/>
                  <a:lstStyle/>
                  <a:p>
                    <a:fld id="{6EA91ECD-FF7A-4CA5-AA98-F57A62DAD22E}" type="VALUE">
                      <a:rPr lang="en-US">
                        <a:solidFill>
                          <a:sysClr val="windowText" lastClr="000000"/>
                        </a:solidFill>
                      </a:rPr>
                      <a:pPr/>
                      <a:t>[VALOR]</a:t>
                    </a:fld>
                    <a:endParaRPr lang="es-E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51F-402C-A6A6-D9892C6A01B8}"/>
                </c:ext>
              </c:extLst>
            </c:dLbl>
            <c:dLbl>
              <c:idx val="8"/>
              <c:layout>
                <c:manualLayout>
                  <c:x val="-5.2308402585410897E-2"/>
                  <c:y val="-0.12174429688826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51F-402C-A6A6-D9892C6A01B8}"/>
                </c:ext>
              </c:extLst>
            </c:dLbl>
            <c:spPr>
              <a:noFill/>
              <a:ln w="9525">
                <a:solidFill>
                  <a:sysClr val="windowText" lastClr="000000"/>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E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mensuales'!$SH$146:$SH$154</c:f>
              <c:numCache>
                <c:formatCode>General</c:formatCode>
                <c:ptCount val="9"/>
                <c:pt idx="2" formatCode="0.0%">
                  <c:v>0.53362373114594219</c:v>
                </c:pt>
                <c:pt idx="5" formatCode="0.0%">
                  <c:v>0.53362373114594219</c:v>
                </c:pt>
                <c:pt idx="8" formatCode="0.0%">
                  <c:v>0.53362373114594219</c:v>
                </c:pt>
              </c:numCache>
            </c:numRef>
          </c:val>
          <c:smooth val="0"/>
          <c:extLst>
            <c:ext xmlns:c16="http://schemas.microsoft.com/office/drawing/2014/chart" uri="{C3380CC4-5D6E-409C-BE32-E72D297353CC}">
              <c16:uniqueId val="{0000000F-551F-402C-A6A6-D9892C6A01B8}"/>
            </c:ext>
          </c:extLst>
        </c:ser>
        <c:ser>
          <c:idx val="2"/>
          <c:order val="3"/>
          <c:tx>
            <c:strRef>
              <c:f>'Bases mensuales'!$SJ$145</c:f>
              <c:strCache>
                <c:ptCount val="1"/>
                <c:pt idx="0">
                  <c:v>2025 Bases medias</c:v>
                </c:pt>
              </c:strCache>
            </c:strRef>
          </c:tx>
          <c:spPr>
            <a:ln w="28575" cap="rnd">
              <a:noFill/>
              <a:round/>
            </a:ln>
            <a:effectLst/>
          </c:spPr>
          <c:marker>
            <c:symbol val="circle"/>
            <c:size val="5"/>
            <c:spPr>
              <a:solidFill>
                <a:schemeClr val="accent2"/>
              </a:solidFill>
              <a:ln w="9525">
                <a:solidFill>
                  <a:schemeClr val="accent2"/>
                </a:solidFill>
              </a:ln>
              <a:effectLst/>
            </c:spPr>
          </c:marker>
          <c:dLbls>
            <c:dLbl>
              <c:idx val="1"/>
              <c:layout>
                <c:manualLayout>
                  <c:x val="-5.4770997375328083E-2"/>
                  <c:y val="-8.6312810665294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51F-402C-A6A6-D9892C6A01B8}"/>
                </c:ext>
              </c:extLst>
            </c:dLbl>
            <c:dLbl>
              <c:idx val="4"/>
              <c:layout>
                <c:manualLayout>
                  <c:x val="-5.7548775153105865E-2"/>
                  <c:y val="-7.697792151710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51F-402C-A6A6-D9892C6A01B8}"/>
                </c:ext>
              </c:extLst>
            </c:dLbl>
            <c:dLbl>
              <c:idx val="7"/>
              <c:layout>
                <c:manualLayout>
                  <c:x val="-5.0438596491228067E-2"/>
                  <c:y val="-6.83769472845744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51F-402C-A6A6-D9892C6A01B8}"/>
                </c:ext>
              </c:extLst>
            </c:dLbl>
            <c:spPr>
              <a:noFill/>
              <a:ln w="9525">
                <a:solidFill>
                  <a:sysClr val="windowText" lastClr="000000"/>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mensuales'!$SJ$146:$SJ$154</c:f>
              <c:numCache>
                <c:formatCode>0.0%</c:formatCode>
                <c:ptCount val="9"/>
                <c:pt idx="1">
                  <c:v>0.77140953106514831</c:v>
                </c:pt>
                <c:pt idx="4">
                  <c:v>0.87465053428354089</c:v>
                </c:pt>
                <c:pt idx="7">
                  <c:v>0.90562283524905873</c:v>
                </c:pt>
              </c:numCache>
            </c:numRef>
          </c:val>
          <c:smooth val="0"/>
          <c:extLst>
            <c:ext xmlns:c16="http://schemas.microsoft.com/office/drawing/2014/chart" uri="{C3380CC4-5D6E-409C-BE32-E72D297353CC}">
              <c16:uniqueId val="{00000013-551F-402C-A6A6-D9892C6A01B8}"/>
            </c:ext>
          </c:extLst>
        </c:ser>
        <c:ser>
          <c:idx val="3"/>
          <c:order val="5"/>
          <c:tx>
            <c:strRef>
              <c:f>'Bases mensuales'!$SL$145</c:f>
              <c:strCache>
                <c:ptCount val="1"/>
                <c:pt idx="0">
                  <c:v>2025 Bases mínimas</c:v>
                </c:pt>
              </c:strCache>
            </c:strRef>
          </c:tx>
          <c:spPr>
            <a:ln w="28575" cap="rnd">
              <a:noFill/>
              <a:round/>
            </a:ln>
            <a:effectLst/>
          </c:spPr>
          <c:marker>
            <c:symbol val="diamond"/>
            <c:size val="5"/>
            <c:spPr>
              <a:solidFill>
                <a:schemeClr val="accent1"/>
              </a:solidFill>
              <a:ln w="9525">
                <a:noFill/>
              </a:ln>
              <a:effectLst/>
            </c:spPr>
          </c:marker>
          <c:dPt>
            <c:idx val="0"/>
            <c:marker>
              <c:symbol val="diamond"/>
              <c:size val="5"/>
              <c:spPr>
                <a:solidFill>
                  <a:srgbClr val="156082"/>
                </a:solidFill>
                <a:ln w="9525">
                  <a:noFill/>
                </a:ln>
                <a:effectLst/>
              </c:spPr>
            </c:marker>
            <c:bubble3D val="0"/>
            <c:extLst>
              <c:ext xmlns:c16="http://schemas.microsoft.com/office/drawing/2014/chart" uri="{C3380CC4-5D6E-409C-BE32-E72D297353CC}">
                <c16:uniqueId val="{00000014-551F-402C-A6A6-D9892C6A01B8}"/>
              </c:ext>
            </c:extLst>
          </c:dPt>
          <c:dLbls>
            <c:dLbl>
              <c:idx val="0"/>
              <c:layout>
                <c:manualLayout>
                  <c:x val="-6.3283229706176836E-2"/>
                  <c:y val="-8.6312906538856551E-2"/>
                </c:manualLayout>
              </c:layout>
              <c:spPr>
                <a:noFill/>
                <a:ln w="9525">
                  <a:solidFill>
                    <a:srgbClr val="121212"/>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E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51F-402C-A6A6-D9892C6A01B8}"/>
                </c:ext>
              </c:extLst>
            </c:dLbl>
            <c:dLbl>
              <c:idx val="3"/>
              <c:layout>
                <c:manualLayout>
                  <c:x val="-5.7548775153105865E-2"/>
                  <c:y val="-7.697792151710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51F-402C-A6A6-D9892C6A01B8}"/>
                </c:ext>
              </c:extLst>
            </c:dLbl>
            <c:dLbl>
              <c:idx val="6"/>
              <c:layout>
                <c:manualLayout>
                  <c:x val="-4.7824466886237642E-2"/>
                  <c:y val="-6.42310103028166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51F-402C-A6A6-D9892C6A01B8}"/>
                </c:ext>
              </c:extLst>
            </c:dLbl>
            <c:spPr>
              <a:noFill/>
              <a:ln>
                <a:solidFill>
                  <a:sysClr val="windowText" lastClr="000000"/>
                </a:solid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mensuales'!$SG$146:$SG$154</c:f>
              <c:numCache>
                <c:formatCode>General</c:formatCode>
                <c:ptCount val="9"/>
                <c:pt idx="1">
                  <c:v>30</c:v>
                </c:pt>
                <c:pt idx="4">
                  <c:v>35</c:v>
                </c:pt>
                <c:pt idx="7">
                  <c:v>40</c:v>
                </c:pt>
              </c:numCache>
            </c:numRef>
          </c:cat>
          <c:val>
            <c:numRef>
              <c:f>'Bases mensuales'!$SL$146:$SL$154</c:f>
              <c:numCache>
                <c:formatCode>General</c:formatCode>
                <c:ptCount val="9"/>
                <c:pt idx="0" formatCode="0.0%">
                  <c:v>0.77140953106514831</c:v>
                </c:pt>
                <c:pt idx="3" formatCode="0.0%">
                  <c:v>0.874650534283541</c:v>
                </c:pt>
                <c:pt idx="6" formatCode="0.0%">
                  <c:v>0.90562283524905884</c:v>
                </c:pt>
              </c:numCache>
            </c:numRef>
          </c:val>
          <c:smooth val="0"/>
          <c:extLst>
            <c:ext xmlns:c16="http://schemas.microsoft.com/office/drawing/2014/chart" uri="{C3380CC4-5D6E-409C-BE32-E72D297353CC}">
              <c16:uniqueId val="{00000017-551F-402C-A6A6-D9892C6A01B8}"/>
            </c:ext>
          </c:extLst>
        </c:ser>
        <c:dLbls>
          <c:showLegendKey val="0"/>
          <c:showVal val="0"/>
          <c:showCatName val="0"/>
          <c:showSerName val="0"/>
          <c:showPercent val="0"/>
          <c:showBubbleSize val="0"/>
        </c:dLbls>
        <c:marker val="1"/>
        <c:smooth val="0"/>
        <c:axId val="1202579727"/>
        <c:axId val="1202580687"/>
      </c:lineChart>
      <c:catAx>
        <c:axId val="1202579727"/>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a:t>Años cotizados</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crossAx val="1202580687"/>
        <c:crosses val="autoZero"/>
        <c:auto val="1"/>
        <c:lblAlgn val="ctr"/>
        <c:lblOffset val="100"/>
        <c:noMultiLvlLbl val="0"/>
      </c:catAx>
      <c:valAx>
        <c:axId val="120258068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crossAx val="1202579727"/>
        <c:crosses val="autoZero"/>
        <c:crossBetween val="between"/>
      </c:valAx>
      <c:spPr>
        <a:noFill/>
        <a:ln>
          <a:noFill/>
        </a:ln>
        <a:effectLst/>
      </c:spPr>
    </c:plotArea>
    <c:legend>
      <c:legendPos val="b"/>
      <c:layout>
        <c:manualLayout>
          <c:xMode val="edge"/>
          <c:yMode val="edge"/>
          <c:x val="7.8492935635792772E-3"/>
          <c:y val="1.9469200428158716E-2"/>
          <c:w val="0.9882792123512032"/>
          <c:h val="0.1234321579367796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939259709187342E-2"/>
          <c:y val="0.19766153143900492"/>
          <c:w val="0.89919056155139587"/>
          <c:h val="0.63165740646055601"/>
        </c:manualLayout>
      </c:layout>
      <c:lineChart>
        <c:grouping val="standard"/>
        <c:varyColors val="0"/>
        <c:ser>
          <c:idx val="0"/>
          <c:order val="0"/>
          <c:tx>
            <c:strRef>
              <c:f>'Bases mensuales'!$SE$66</c:f>
              <c:strCache>
                <c:ptCount val="1"/>
                <c:pt idx="0">
                  <c:v>2025</c:v>
                </c:pt>
              </c:strCache>
            </c:strRef>
          </c:tx>
          <c:spPr>
            <a:ln w="19050" cap="rnd">
              <a:solidFill>
                <a:schemeClr val="accent1"/>
              </a:solidFill>
              <a:round/>
            </a:ln>
            <a:effectLst/>
          </c:spPr>
          <c:marker>
            <c:symbol val="none"/>
          </c:marker>
          <c:dLbls>
            <c:dLbl>
              <c:idx val="0"/>
              <c:layout>
                <c:manualLayout>
                  <c:x val="-2.7397260273972612E-2"/>
                  <c:y val="-3.5277258418139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0A-438D-91E6-8E8BDDB16A87}"/>
                </c:ext>
              </c:extLst>
            </c:dLbl>
            <c:dLbl>
              <c:idx val="30"/>
              <c:layout>
                <c:manualLayout>
                  <c:x val="-1.8264840182648401E-3"/>
                  <c:y val="-3.5277258418139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0A-438D-91E6-8E8BDDB16A87}"/>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mensuales'!$RP$67:$RP$97</c:f>
              <c:numCache>
                <c:formatCode>General</c:formatCode>
                <c:ptCount val="31"/>
                <c:pt idx="0">
                  <c:v>30</c:v>
                </c:pt>
                <c:pt idx="1">
                  <c:v>30.5</c:v>
                </c:pt>
                <c:pt idx="2">
                  <c:v>31</c:v>
                </c:pt>
                <c:pt idx="3">
                  <c:v>31.5</c:v>
                </c:pt>
                <c:pt idx="4">
                  <c:v>32</c:v>
                </c:pt>
                <c:pt idx="5">
                  <c:v>32.5</c:v>
                </c:pt>
                <c:pt idx="6">
                  <c:v>33</c:v>
                </c:pt>
                <c:pt idx="7">
                  <c:v>33.5</c:v>
                </c:pt>
                <c:pt idx="8">
                  <c:v>34</c:v>
                </c:pt>
                <c:pt idx="9">
                  <c:v>34.5</c:v>
                </c:pt>
                <c:pt idx="10">
                  <c:v>35</c:v>
                </c:pt>
                <c:pt idx="11">
                  <c:v>35.5</c:v>
                </c:pt>
                <c:pt idx="12">
                  <c:v>36</c:v>
                </c:pt>
                <c:pt idx="13">
                  <c:v>36.5</c:v>
                </c:pt>
                <c:pt idx="14">
                  <c:v>37</c:v>
                </c:pt>
                <c:pt idx="15">
                  <c:v>37.5</c:v>
                </c:pt>
                <c:pt idx="16">
                  <c:v>38</c:v>
                </c:pt>
                <c:pt idx="17">
                  <c:v>38.5</c:v>
                </c:pt>
                <c:pt idx="18">
                  <c:v>39</c:v>
                </c:pt>
                <c:pt idx="19">
                  <c:v>39.5</c:v>
                </c:pt>
                <c:pt idx="20">
                  <c:v>40</c:v>
                </c:pt>
                <c:pt idx="21">
                  <c:v>40.5</c:v>
                </c:pt>
                <c:pt idx="22">
                  <c:v>41</c:v>
                </c:pt>
                <c:pt idx="23">
                  <c:v>41.5</c:v>
                </c:pt>
                <c:pt idx="24">
                  <c:v>42</c:v>
                </c:pt>
                <c:pt idx="25">
                  <c:v>42.5</c:v>
                </c:pt>
                <c:pt idx="26">
                  <c:v>43</c:v>
                </c:pt>
                <c:pt idx="27">
                  <c:v>43.5</c:v>
                </c:pt>
                <c:pt idx="28">
                  <c:v>44</c:v>
                </c:pt>
                <c:pt idx="29">
                  <c:v>44.5</c:v>
                </c:pt>
                <c:pt idx="30">
                  <c:v>45</c:v>
                </c:pt>
              </c:numCache>
            </c:numRef>
          </c:cat>
          <c:val>
            <c:numRef>
              <c:f>'Bases mensuales'!$SE$67:$SE$97</c:f>
              <c:numCache>
                <c:formatCode>0.0%</c:formatCode>
                <c:ptCount val="31"/>
                <c:pt idx="0">
                  <c:v>0.77140953106514831</c:v>
                </c:pt>
                <c:pt idx="1">
                  <c:v>0.78173363138698759</c:v>
                </c:pt>
                <c:pt idx="2">
                  <c:v>0.79205773170882687</c:v>
                </c:pt>
                <c:pt idx="3">
                  <c:v>0.80238183203066615</c:v>
                </c:pt>
                <c:pt idx="4">
                  <c:v>0.81270593235250543</c:v>
                </c:pt>
                <c:pt idx="5">
                  <c:v>0.82303003267434471</c:v>
                </c:pt>
                <c:pt idx="6">
                  <c:v>0.83335413299618399</c:v>
                </c:pt>
                <c:pt idx="7">
                  <c:v>0.84367823331802327</c:v>
                </c:pt>
                <c:pt idx="8">
                  <c:v>0.85400233363986255</c:v>
                </c:pt>
                <c:pt idx="9">
                  <c:v>0.86432643396170161</c:v>
                </c:pt>
                <c:pt idx="10">
                  <c:v>0.87465053428354089</c:v>
                </c:pt>
                <c:pt idx="11">
                  <c:v>0.88497463460538039</c:v>
                </c:pt>
                <c:pt idx="12">
                  <c:v>0.89529873492721934</c:v>
                </c:pt>
                <c:pt idx="13">
                  <c:v>0.90562283524905873</c:v>
                </c:pt>
                <c:pt idx="14">
                  <c:v>0.90562283524905873</c:v>
                </c:pt>
                <c:pt idx="15">
                  <c:v>0.90562283524905873</c:v>
                </c:pt>
                <c:pt idx="16">
                  <c:v>0.90562283524905873</c:v>
                </c:pt>
                <c:pt idx="17">
                  <c:v>0.90562283524905873</c:v>
                </c:pt>
                <c:pt idx="18">
                  <c:v>0.90562283524905873</c:v>
                </c:pt>
                <c:pt idx="19">
                  <c:v>0.90562283524905873</c:v>
                </c:pt>
                <c:pt idx="20">
                  <c:v>0.90562283524905873</c:v>
                </c:pt>
                <c:pt idx="21">
                  <c:v>0.90562283524905873</c:v>
                </c:pt>
                <c:pt idx="22">
                  <c:v>0.90562283524905873</c:v>
                </c:pt>
                <c:pt idx="23">
                  <c:v>0.90562283524905873</c:v>
                </c:pt>
                <c:pt idx="24">
                  <c:v>0.90562283524905873</c:v>
                </c:pt>
                <c:pt idx="25">
                  <c:v>0.90562283524905873</c:v>
                </c:pt>
                <c:pt idx="26">
                  <c:v>0.90562283524905873</c:v>
                </c:pt>
                <c:pt idx="27">
                  <c:v>0.90562283524905873</c:v>
                </c:pt>
                <c:pt idx="28">
                  <c:v>0.90562283524905873</c:v>
                </c:pt>
                <c:pt idx="29">
                  <c:v>0.90562283524905873</c:v>
                </c:pt>
                <c:pt idx="30">
                  <c:v>0.90562283524905873</c:v>
                </c:pt>
              </c:numCache>
            </c:numRef>
          </c:val>
          <c:smooth val="0"/>
          <c:extLst>
            <c:ext xmlns:c16="http://schemas.microsoft.com/office/drawing/2014/chart" uri="{C3380CC4-5D6E-409C-BE32-E72D297353CC}">
              <c16:uniqueId val="{00000002-070A-438D-91E6-8E8BDDB16A87}"/>
            </c:ext>
          </c:extLst>
        </c:ser>
        <c:ser>
          <c:idx val="1"/>
          <c:order val="1"/>
          <c:tx>
            <c:strRef>
              <c:f>'Bases mensuales'!$SF$66</c:f>
              <c:strCache>
                <c:ptCount val="1"/>
                <c:pt idx="0">
                  <c:v>2065 legislación actual</c:v>
                </c:pt>
              </c:strCache>
            </c:strRef>
          </c:tx>
          <c:spPr>
            <a:ln w="19050" cap="rnd">
              <a:solidFill>
                <a:schemeClr val="accent2"/>
              </a:solidFill>
              <a:round/>
            </a:ln>
            <a:effectLst/>
          </c:spPr>
          <c:marker>
            <c:symbol val="none"/>
          </c:marker>
          <c:dLbls>
            <c:dLbl>
              <c:idx val="0"/>
              <c:layout>
                <c:manualLayout>
                  <c:x val="-3.4703196347031964E-2"/>
                  <c:y val="1.763862920906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0A-438D-91E6-8E8BDDB16A87}"/>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mensuales'!$RP$67:$RP$97</c:f>
              <c:numCache>
                <c:formatCode>General</c:formatCode>
                <c:ptCount val="31"/>
                <c:pt idx="0">
                  <c:v>30</c:v>
                </c:pt>
                <c:pt idx="1">
                  <c:v>30.5</c:v>
                </c:pt>
                <c:pt idx="2">
                  <c:v>31</c:v>
                </c:pt>
                <c:pt idx="3">
                  <c:v>31.5</c:v>
                </c:pt>
                <c:pt idx="4">
                  <c:v>32</c:v>
                </c:pt>
                <c:pt idx="5">
                  <c:v>32.5</c:v>
                </c:pt>
                <c:pt idx="6">
                  <c:v>33</c:v>
                </c:pt>
                <c:pt idx="7">
                  <c:v>33.5</c:v>
                </c:pt>
                <c:pt idx="8">
                  <c:v>34</c:v>
                </c:pt>
                <c:pt idx="9">
                  <c:v>34.5</c:v>
                </c:pt>
                <c:pt idx="10">
                  <c:v>35</c:v>
                </c:pt>
                <c:pt idx="11">
                  <c:v>35.5</c:v>
                </c:pt>
                <c:pt idx="12">
                  <c:v>36</c:v>
                </c:pt>
                <c:pt idx="13">
                  <c:v>36.5</c:v>
                </c:pt>
                <c:pt idx="14">
                  <c:v>37</c:v>
                </c:pt>
                <c:pt idx="15">
                  <c:v>37.5</c:v>
                </c:pt>
                <c:pt idx="16">
                  <c:v>38</c:v>
                </c:pt>
                <c:pt idx="17">
                  <c:v>38.5</c:v>
                </c:pt>
                <c:pt idx="18">
                  <c:v>39</c:v>
                </c:pt>
                <c:pt idx="19">
                  <c:v>39.5</c:v>
                </c:pt>
                <c:pt idx="20">
                  <c:v>40</c:v>
                </c:pt>
                <c:pt idx="21">
                  <c:v>40.5</c:v>
                </c:pt>
                <c:pt idx="22">
                  <c:v>41</c:v>
                </c:pt>
                <c:pt idx="23">
                  <c:v>41.5</c:v>
                </c:pt>
                <c:pt idx="24">
                  <c:v>42</c:v>
                </c:pt>
                <c:pt idx="25">
                  <c:v>42.5</c:v>
                </c:pt>
                <c:pt idx="26">
                  <c:v>43</c:v>
                </c:pt>
                <c:pt idx="27">
                  <c:v>43.5</c:v>
                </c:pt>
                <c:pt idx="28">
                  <c:v>44</c:v>
                </c:pt>
                <c:pt idx="29">
                  <c:v>44.5</c:v>
                </c:pt>
                <c:pt idx="30">
                  <c:v>45</c:v>
                </c:pt>
              </c:numCache>
            </c:numRef>
          </c:cat>
          <c:val>
            <c:numRef>
              <c:f>'Bases mensuales'!$SF$67:$SF$97</c:f>
              <c:numCache>
                <c:formatCode>0.0%</c:formatCode>
                <c:ptCount val="31"/>
                <c:pt idx="0">
                  <c:v>0.75302721308707932</c:v>
                </c:pt>
                <c:pt idx="1">
                  <c:v>0.76322259340678544</c:v>
                </c:pt>
                <c:pt idx="2">
                  <c:v>0.77341797372649179</c:v>
                </c:pt>
                <c:pt idx="3">
                  <c:v>0.78361335404619814</c:v>
                </c:pt>
                <c:pt idx="4">
                  <c:v>0.79380873436590438</c:v>
                </c:pt>
                <c:pt idx="5">
                  <c:v>0.80400411468561084</c:v>
                </c:pt>
                <c:pt idx="6">
                  <c:v>0.81419949500531696</c:v>
                </c:pt>
                <c:pt idx="7">
                  <c:v>0.82439487532502331</c:v>
                </c:pt>
                <c:pt idx="8">
                  <c:v>0.83459025564472966</c:v>
                </c:pt>
                <c:pt idx="9">
                  <c:v>0.84478563596443601</c:v>
                </c:pt>
                <c:pt idx="10">
                  <c:v>0.85498101628414203</c:v>
                </c:pt>
                <c:pt idx="11">
                  <c:v>0.8651763966038486</c:v>
                </c:pt>
                <c:pt idx="12">
                  <c:v>0.87501404428075813</c:v>
                </c:pt>
                <c:pt idx="13">
                  <c:v>0.88467282563626937</c:v>
                </c:pt>
                <c:pt idx="14">
                  <c:v>0.89433160699178049</c:v>
                </c:pt>
                <c:pt idx="15">
                  <c:v>0.89433160699178049</c:v>
                </c:pt>
                <c:pt idx="16">
                  <c:v>0.89433160699178049</c:v>
                </c:pt>
                <c:pt idx="17">
                  <c:v>0.89433160699178049</c:v>
                </c:pt>
                <c:pt idx="18">
                  <c:v>0.89433160699178049</c:v>
                </c:pt>
                <c:pt idx="19">
                  <c:v>0.89433160699178049</c:v>
                </c:pt>
                <c:pt idx="20">
                  <c:v>0.89433160699178049</c:v>
                </c:pt>
                <c:pt idx="21">
                  <c:v>0.89433160699178049</c:v>
                </c:pt>
                <c:pt idx="22">
                  <c:v>0.89433160699178049</c:v>
                </c:pt>
                <c:pt idx="23">
                  <c:v>0.89433160699178049</c:v>
                </c:pt>
                <c:pt idx="24">
                  <c:v>0.89433160699178049</c:v>
                </c:pt>
                <c:pt idx="25">
                  <c:v>0.89433160699178049</c:v>
                </c:pt>
                <c:pt idx="26">
                  <c:v>0.89433160699178049</c:v>
                </c:pt>
                <c:pt idx="27">
                  <c:v>0.89433160699178049</c:v>
                </c:pt>
                <c:pt idx="28">
                  <c:v>0.89433160699178049</c:v>
                </c:pt>
                <c:pt idx="29">
                  <c:v>0.89433160699178049</c:v>
                </c:pt>
                <c:pt idx="30">
                  <c:v>0.89433160699178049</c:v>
                </c:pt>
              </c:numCache>
            </c:numRef>
          </c:val>
          <c:smooth val="0"/>
          <c:extLst>
            <c:ext xmlns:c16="http://schemas.microsoft.com/office/drawing/2014/chart" uri="{C3380CC4-5D6E-409C-BE32-E72D297353CC}">
              <c16:uniqueId val="{00000004-070A-438D-91E6-8E8BDDB16A87}"/>
            </c:ext>
          </c:extLst>
        </c:ser>
        <c:ser>
          <c:idx val="3"/>
          <c:order val="2"/>
          <c:tx>
            <c:strRef>
              <c:f>'Bases mensuales'!$SG$66</c:f>
              <c:strCache>
                <c:ptCount val="1"/>
                <c:pt idx="0">
                  <c:v>BR35</c:v>
                </c:pt>
              </c:strCache>
            </c:strRef>
          </c:tx>
          <c:spPr>
            <a:ln w="19050" cap="rnd">
              <a:solidFill>
                <a:srgbClr val="2DCCCD"/>
              </a:solidFill>
              <a:prstDash val="sysDash"/>
              <a:round/>
            </a:ln>
            <a:effectLst/>
          </c:spPr>
          <c:marker>
            <c:symbol val="none"/>
          </c:marker>
          <c:val>
            <c:numRef>
              <c:f>'Bases mensuales'!$SG$67:$SG$97</c:f>
              <c:numCache>
                <c:formatCode>0.0%</c:formatCode>
                <c:ptCount val="31"/>
                <c:pt idx="0">
                  <c:v>0.67912455021238283</c:v>
                </c:pt>
                <c:pt idx="1">
                  <c:v>0.69402316327208513</c:v>
                </c:pt>
                <c:pt idx="2">
                  <c:v>0.70913167717615777</c:v>
                </c:pt>
                <c:pt idx="3">
                  <c:v>0.72142789707178201</c:v>
                </c:pt>
                <c:pt idx="4">
                  <c:v>0.73383055392956298</c:v>
                </c:pt>
                <c:pt idx="5">
                  <c:v>0.74594704464493766</c:v>
                </c:pt>
                <c:pt idx="6">
                  <c:v>0.75815891538027091</c:v>
                </c:pt>
                <c:pt idx="7">
                  <c:v>0.77007358498278389</c:v>
                </c:pt>
                <c:pt idx="8">
                  <c:v>0.78207252515479453</c:v>
                </c:pt>
                <c:pt idx="9">
                  <c:v>0.79383181691304383</c:v>
                </c:pt>
                <c:pt idx="10">
                  <c:v>0.80566655289933076</c:v>
                </c:pt>
                <c:pt idx="11">
                  <c:v>0.8152738737184233</c:v>
                </c:pt>
                <c:pt idx="12">
                  <c:v>0.82454409556140718</c:v>
                </c:pt>
                <c:pt idx="13">
                  <c:v>0.83364576791633693</c:v>
                </c:pt>
                <c:pt idx="14">
                  <c:v>0.84274744027126658</c:v>
                </c:pt>
                <c:pt idx="15">
                  <c:v>0.84274744027126658</c:v>
                </c:pt>
                <c:pt idx="16">
                  <c:v>0.84274744027126658</c:v>
                </c:pt>
                <c:pt idx="17">
                  <c:v>0.84274744027126658</c:v>
                </c:pt>
                <c:pt idx="18">
                  <c:v>0.84274744027126658</c:v>
                </c:pt>
                <c:pt idx="19">
                  <c:v>0.84274744027126658</c:v>
                </c:pt>
                <c:pt idx="20">
                  <c:v>0.84274744027126658</c:v>
                </c:pt>
                <c:pt idx="21">
                  <c:v>0.84274744027126658</c:v>
                </c:pt>
                <c:pt idx="22">
                  <c:v>0.84274744027126658</c:v>
                </c:pt>
                <c:pt idx="23">
                  <c:v>0.84274744027126658</c:v>
                </c:pt>
                <c:pt idx="24">
                  <c:v>0.84274744027126658</c:v>
                </c:pt>
                <c:pt idx="25">
                  <c:v>0.84274744027126658</c:v>
                </c:pt>
                <c:pt idx="26">
                  <c:v>0.84274744027126658</c:v>
                </c:pt>
                <c:pt idx="27">
                  <c:v>0.84274744027126658</c:v>
                </c:pt>
                <c:pt idx="28">
                  <c:v>0.84274744027126658</c:v>
                </c:pt>
                <c:pt idx="29">
                  <c:v>0.84274744027126658</c:v>
                </c:pt>
                <c:pt idx="30">
                  <c:v>0.84274744027126658</c:v>
                </c:pt>
              </c:numCache>
            </c:numRef>
          </c:val>
          <c:smooth val="0"/>
          <c:extLst>
            <c:ext xmlns:c16="http://schemas.microsoft.com/office/drawing/2014/chart" uri="{C3380CC4-5D6E-409C-BE32-E72D297353CC}">
              <c16:uniqueId val="{00000005-070A-438D-91E6-8E8BDDB16A87}"/>
            </c:ext>
          </c:extLst>
        </c:ser>
        <c:ser>
          <c:idx val="4"/>
          <c:order val="3"/>
          <c:tx>
            <c:strRef>
              <c:f>'Bases mensuales'!$SH$66</c:f>
              <c:strCache>
                <c:ptCount val="1"/>
                <c:pt idx="0">
                  <c:v>Escala lineal 40 años=100%</c:v>
                </c:pt>
              </c:strCache>
            </c:strRef>
          </c:tx>
          <c:spPr>
            <a:ln w="19050" cap="rnd">
              <a:solidFill>
                <a:srgbClr val="D8BE75"/>
              </a:solidFill>
              <a:prstDash val="dash"/>
              <a:round/>
            </a:ln>
            <a:effectLst/>
          </c:spPr>
          <c:marker>
            <c:symbol val="none"/>
          </c:marker>
          <c:dLbls>
            <c:dLbl>
              <c:idx val="30"/>
              <c:layout>
                <c:manualLayout>
                  <c:x val="0"/>
                  <c:y val="1.763862920906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0A-438D-91E6-8E8BDDB16A87}"/>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'Bases mensuales'!$SH$67:$SH$97</c:f>
              <c:numCache>
                <c:formatCode>0.0%</c:formatCode>
                <c:ptCount val="31"/>
                <c:pt idx="0">
                  <c:v>0.67074870524383534</c:v>
                </c:pt>
                <c:pt idx="1">
                  <c:v>0.6819278503312326</c:v>
                </c:pt>
                <c:pt idx="2">
                  <c:v>0.69310699541862997</c:v>
                </c:pt>
                <c:pt idx="3">
                  <c:v>0.70428614050602711</c:v>
                </c:pt>
                <c:pt idx="4">
                  <c:v>0.71546528559342437</c:v>
                </c:pt>
                <c:pt idx="5">
                  <c:v>0.72664443068082163</c:v>
                </c:pt>
                <c:pt idx="6">
                  <c:v>0.73782357576821889</c:v>
                </c:pt>
                <c:pt idx="7">
                  <c:v>0.74900272085561626</c:v>
                </c:pt>
                <c:pt idx="8">
                  <c:v>0.7601818659430134</c:v>
                </c:pt>
                <c:pt idx="9">
                  <c:v>0.77136101103041077</c:v>
                </c:pt>
                <c:pt idx="10">
                  <c:v>0.78254015611780803</c:v>
                </c:pt>
                <c:pt idx="11">
                  <c:v>0.79371930120520517</c:v>
                </c:pt>
                <c:pt idx="12">
                  <c:v>0.80489844629260254</c:v>
                </c:pt>
                <c:pt idx="13">
                  <c:v>0.8160775913799998</c:v>
                </c:pt>
                <c:pt idx="14">
                  <c:v>0.82725673646739695</c:v>
                </c:pt>
                <c:pt idx="15">
                  <c:v>0.83843588155479432</c:v>
                </c:pt>
                <c:pt idx="16">
                  <c:v>0.84961502664219157</c:v>
                </c:pt>
                <c:pt idx="17">
                  <c:v>0.86079417172958872</c:v>
                </c:pt>
                <c:pt idx="18">
                  <c:v>0.87197331681698609</c:v>
                </c:pt>
                <c:pt idx="19">
                  <c:v>0.88315246190438346</c:v>
                </c:pt>
                <c:pt idx="20">
                  <c:v>0.89433160699178049</c:v>
                </c:pt>
                <c:pt idx="21">
                  <c:v>0.89433160699178049</c:v>
                </c:pt>
                <c:pt idx="22">
                  <c:v>0.89433160699178049</c:v>
                </c:pt>
                <c:pt idx="23">
                  <c:v>0.89433160699178049</c:v>
                </c:pt>
                <c:pt idx="24">
                  <c:v>0.89433160699178049</c:v>
                </c:pt>
                <c:pt idx="25">
                  <c:v>0.89433160699178049</c:v>
                </c:pt>
                <c:pt idx="26">
                  <c:v>0.89433160699178049</c:v>
                </c:pt>
                <c:pt idx="27">
                  <c:v>0.89433160699178049</c:v>
                </c:pt>
                <c:pt idx="28">
                  <c:v>0.89433160699178049</c:v>
                </c:pt>
                <c:pt idx="29">
                  <c:v>0.89433160699178049</c:v>
                </c:pt>
                <c:pt idx="30">
                  <c:v>0.89433160699178049</c:v>
                </c:pt>
              </c:numCache>
            </c:numRef>
          </c:val>
          <c:smooth val="0"/>
          <c:extLst>
            <c:ext xmlns:c16="http://schemas.microsoft.com/office/drawing/2014/chart" uri="{C3380CC4-5D6E-409C-BE32-E72D297353CC}">
              <c16:uniqueId val="{00000007-070A-438D-91E6-8E8BDDB16A87}"/>
            </c:ext>
          </c:extLst>
        </c:ser>
        <c:ser>
          <c:idx val="5"/>
          <c:order val="4"/>
          <c:tx>
            <c:strRef>
              <c:f>'Bases mensuales'!$SI$66</c:f>
              <c:strCache>
                <c:ptCount val="1"/>
                <c:pt idx="0">
                  <c:v>FS 2044=1</c:v>
                </c:pt>
              </c:strCache>
            </c:strRef>
          </c:tx>
          <c:spPr>
            <a:ln w="19050" cap="rnd">
              <a:solidFill>
                <a:srgbClr val="2DCCCD"/>
              </a:solidFill>
              <a:prstDash val="sysDot"/>
              <a:round/>
            </a:ln>
            <a:effectLst/>
          </c:spPr>
          <c:marker>
            <c:symbol val="none"/>
          </c:marker>
          <c:val>
            <c:numRef>
              <c:f>'Bases mensuales'!$SI$67:$SI$97</c:f>
              <c:numCache>
                <c:formatCode>0.0%</c:formatCode>
                <c:ptCount val="31"/>
                <c:pt idx="0">
                  <c:v>0.71676400759866243</c:v>
                </c:pt>
                <c:pt idx="1">
                  <c:v>0.72646841340225476</c:v>
                </c:pt>
                <c:pt idx="2">
                  <c:v>0.7361728192058471</c:v>
                </c:pt>
                <c:pt idx="3">
                  <c:v>0.74587722500943954</c:v>
                </c:pt>
                <c:pt idx="4">
                  <c:v>0.75558163081303176</c:v>
                </c:pt>
                <c:pt idx="5">
                  <c:v>0.7652860366166242</c:v>
                </c:pt>
                <c:pt idx="6">
                  <c:v>0.77499044242021664</c:v>
                </c:pt>
                <c:pt idx="7">
                  <c:v>0.78469484822380886</c:v>
                </c:pt>
                <c:pt idx="8">
                  <c:v>0.79439925402740119</c:v>
                </c:pt>
                <c:pt idx="9">
                  <c:v>0.80410365983099352</c:v>
                </c:pt>
                <c:pt idx="10">
                  <c:v>0.81380806563458574</c:v>
                </c:pt>
                <c:pt idx="11">
                  <c:v>0.8235124714381783</c:v>
                </c:pt>
                <c:pt idx="12">
                  <c:v>0.83287637177497775</c:v>
                </c:pt>
                <c:pt idx="13">
                  <c:v>0.84207001937838122</c:v>
                </c:pt>
                <c:pt idx="14">
                  <c:v>0.85126366698178446</c:v>
                </c:pt>
                <c:pt idx="15">
                  <c:v>0.85126366698178446</c:v>
                </c:pt>
                <c:pt idx="16">
                  <c:v>0.85126366698178446</c:v>
                </c:pt>
                <c:pt idx="17">
                  <c:v>0.85126366698178446</c:v>
                </c:pt>
                <c:pt idx="18">
                  <c:v>0.85126366698178446</c:v>
                </c:pt>
                <c:pt idx="19">
                  <c:v>0.85126366698178446</c:v>
                </c:pt>
                <c:pt idx="20">
                  <c:v>0.85126366698178446</c:v>
                </c:pt>
                <c:pt idx="21">
                  <c:v>0.85126366698178446</c:v>
                </c:pt>
                <c:pt idx="22">
                  <c:v>0.85126366698178446</c:v>
                </c:pt>
                <c:pt idx="23">
                  <c:v>0.85126366698178446</c:v>
                </c:pt>
                <c:pt idx="24">
                  <c:v>0.85126366698178446</c:v>
                </c:pt>
                <c:pt idx="25">
                  <c:v>0.85126366698178446</c:v>
                </c:pt>
                <c:pt idx="26">
                  <c:v>0.85126366698178446</c:v>
                </c:pt>
                <c:pt idx="27">
                  <c:v>0.85126366698178446</c:v>
                </c:pt>
                <c:pt idx="28">
                  <c:v>0.85126366698178446</c:v>
                </c:pt>
                <c:pt idx="29">
                  <c:v>0.85126366698178446</c:v>
                </c:pt>
                <c:pt idx="30">
                  <c:v>0.85126366698178446</c:v>
                </c:pt>
              </c:numCache>
            </c:numRef>
          </c:val>
          <c:smooth val="0"/>
          <c:extLst>
            <c:ext xmlns:c16="http://schemas.microsoft.com/office/drawing/2014/chart" uri="{C3380CC4-5D6E-409C-BE32-E72D297353CC}">
              <c16:uniqueId val="{00000008-070A-438D-91E6-8E8BDDB16A87}"/>
            </c:ext>
          </c:extLst>
        </c:ser>
        <c:ser>
          <c:idx val="2"/>
          <c:order val="5"/>
          <c:tx>
            <c:strRef>
              <c:f>'Bases mensuales'!$SJ$66</c:f>
              <c:strCache>
                <c:ptCount val="1"/>
                <c:pt idx="0">
                  <c:v>2065 con 3 reformas hipotéticas</c:v>
                </c:pt>
              </c:strCache>
            </c:strRef>
          </c:tx>
          <c:spPr>
            <a:ln w="19050" cap="rnd">
              <a:solidFill>
                <a:srgbClr val="5BBEFF"/>
              </a:solidFill>
              <a:prstDash val="lgDash"/>
              <a:round/>
            </a:ln>
            <a:effectLst/>
          </c:spPr>
          <c:marker>
            <c:symbol val="none"/>
          </c:marker>
          <c:dLbls>
            <c:dLbl>
              <c:idx val="0"/>
              <c:layout>
                <c:manualLayout>
                  <c:x val="-1.2785388127853882E-2"/>
                  <c:y val="2.1166355050883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0A-438D-91E6-8E8BDDB16A87}"/>
                </c:ext>
              </c:extLst>
            </c:dLbl>
            <c:dLbl>
              <c:idx val="30"/>
              <c:layout>
                <c:manualLayout>
                  <c:x val="-5.4794520547945206E-3"/>
                  <c:y val="2.1166355050883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0A-438D-91E6-8E8BDDB16A87}"/>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'Bases mensuales'!$RP$67:$RP$97</c:f>
              <c:numCache>
                <c:formatCode>General</c:formatCode>
                <c:ptCount val="31"/>
                <c:pt idx="0">
                  <c:v>30</c:v>
                </c:pt>
                <c:pt idx="1">
                  <c:v>30.5</c:v>
                </c:pt>
                <c:pt idx="2">
                  <c:v>31</c:v>
                </c:pt>
                <c:pt idx="3">
                  <c:v>31.5</c:v>
                </c:pt>
                <c:pt idx="4">
                  <c:v>32</c:v>
                </c:pt>
                <c:pt idx="5">
                  <c:v>32.5</c:v>
                </c:pt>
                <c:pt idx="6">
                  <c:v>33</c:v>
                </c:pt>
                <c:pt idx="7">
                  <c:v>33.5</c:v>
                </c:pt>
                <c:pt idx="8">
                  <c:v>34</c:v>
                </c:pt>
                <c:pt idx="9">
                  <c:v>34.5</c:v>
                </c:pt>
                <c:pt idx="10">
                  <c:v>35</c:v>
                </c:pt>
                <c:pt idx="11">
                  <c:v>35.5</c:v>
                </c:pt>
                <c:pt idx="12">
                  <c:v>36</c:v>
                </c:pt>
                <c:pt idx="13">
                  <c:v>36.5</c:v>
                </c:pt>
                <c:pt idx="14">
                  <c:v>37</c:v>
                </c:pt>
                <c:pt idx="15">
                  <c:v>37.5</c:v>
                </c:pt>
                <c:pt idx="16">
                  <c:v>38</c:v>
                </c:pt>
                <c:pt idx="17">
                  <c:v>38.5</c:v>
                </c:pt>
                <c:pt idx="18">
                  <c:v>39</c:v>
                </c:pt>
                <c:pt idx="19">
                  <c:v>39.5</c:v>
                </c:pt>
                <c:pt idx="20">
                  <c:v>40</c:v>
                </c:pt>
                <c:pt idx="21">
                  <c:v>40.5</c:v>
                </c:pt>
                <c:pt idx="22">
                  <c:v>41</c:v>
                </c:pt>
                <c:pt idx="23">
                  <c:v>41.5</c:v>
                </c:pt>
                <c:pt idx="24">
                  <c:v>42</c:v>
                </c:pt>
                <c:pt idx="25">
                  <c:v>42.5</c:v>
                </c:pt>
                <c:pt idx="26">
                  <c:v>43</c:v>
                </c:pt>
                <c:pt idx="27">
                  <c:v>43.5</c:v>
                </c:pt>
                <c:pt idx="28">
                  <c:v>44</c:v>
                </c:pt>
                <c:pt idx="29">
                  <c:v>44.5</c:v>
                </c:pt>
                <c:pt idx="30">
                  <c:v>45</c:v>
                </c:pt>
              </c:numCache>
            </c:numRef>
          </c:cat>
          <c:val>
            <c:numRef>
              <c:f>'Bases mensuales'!$SJ$67:$SJ$97</c:f>
              <c:numCache>
                <c:formatCode>0.0%</c:formatCode>
                <c:ptCount val="31"/>
                <c:pt idx="0">
                  <c:v>0.57579000290819704</c:v>
                </c:pt>
                <c:pt idx="1">
                  <c:v>0.59023735654741794</c:v>
                </c:pt>
                <c:pt idx="2">
                  <c:v>0.60489281424048003</c:v>
                </c:pt>
                <c:pt idx="3">
                  <c:v>0.6171713591124689</c:v>
                </c:pt>
                <c:pt idx="4">
                  <c:v>0.62955546971183374</c:v>
                </c:pt>
                <c:pt idx="5">
                  <c:v>0.64170761574792312</c:v>
                </c:pt>
                <c:pt idx="6">
                  <c:v>0.65395439630835805</c:v>
                </c:pt>
                <c:pt idx="7">
                  <c:v>0.66595649107423904</c:v>
                </c:pt>
                <c:pt idx="8">
                  <c:v>0.67804222843516659</c:v>
                </c:pt>
                <c:pt idx="9">
                  <c:v>0.68993024194225072</c:v>
                </c:pt>
                <c:pt idx="10">
                  <c:v>0.70189316456473616</c:v>
                </c:pt>
                <c:pt idx="11">
                  <c:v>0.7119202097728039</c:v>
                </c:pt>
                <c:pt idx="12">
                  <c:v>0.72194725498087164</c:v>
                </c:pt>
                <c:pt idx="13">
                  <c:v>0.73197430018893916</c:v>
                </c:pt>
                <c:pt idx="14">
                  <c:v>0.74200134539700702</c:v>
                </c:pt>
                <c:pt idx="15">
                  <c:v>0.75202839060507454</c:v>
                </c:pt>
                <c:pt idx="16">
                  <c:v>0.76205543581314228</c:v>
                </c:pt>
                <c:pt idx="17">
                  <c:v>0.7720824810212098</c:v>
                </c:pt>
                <c:pt idx="18">
                  <c:v>0.78210952622927743</c:v>
                </c:pt>
                <c:pt idx="19">
                  <c:v>0.79213657143734506</c:v>
                </c:pt>
                <c:pt idx="20">
                  <c:v>0.8021636166454128</c:v>
                </c:pt>
                <c:pt idx="21">
                  <c:v>0.8021636166454128</c:v>
                </c:pt>
                <c:pt idx="22">
                  <c:v>0.8021636166454128</c:v>
                </c:pt>
                <c:pt idx="23">
                  <c:v>0.8021636166454128</c:v>
                </c:pt>
                <c:pt idx="24">
                  <c:v>0.8021636166454128</c:v>
                </c:pt>
                <c:pt idx="25">
                  <c:v>0.8021636166454128</c:v>
                </c:pt>
                <c:pt idx="26">
                  <c:v>0.8021636166454128</c:v>
                </c:pt>
                <c:pt idx="27">
                  <c:v>0.8021636166454128</c:v>
                </c:pt>
                <c:pt idx="28">
                  <c:v>0.8021636166454128</c:v>
                </c:pt>
                <c:pt idx="29">
                  <c:v>0.8021636166454128</c:v>
                </c:pt>
                <c:pt idx="30">
                  <c:v>0.8021636166454128</c:v>
                </c:pt>
              </c:numCache>
            </c:numRef>
          </c:val>
          <c:smooth val="0"/>
          <c:extLst>
            <c:ext xmlns:c16="http://schemas.microsoft.com/office/drawing/2014/chart" uri="{C3380CC4-5D6E-409C-BE32-E72D297353CC}">
              <c16:uniqueId val="{0000000B-070A-438D-91E6-8E8BDDB16A87}"/>
            </c:ext>
          </c:extLst>
        </c:ser>
        <c:dLbls>
          <c:showLegendKey val="0"/>
          <c:showVal val="0"/>
          <c:showCatName val="0"/>
          <c:showSerName val="0"/>
          <c:showPercent val="0"/>
          <c:showBubbleSize val="0"/>
        </c:dLbls>
        <c:smooth val="0"/>
        <c:axId val="985026735"/>
        <c:axId val="985025295"/>
      </c:lineChart>
      <c:catAx>
        <c:axId val="985026735"/>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r>
                  <a:rPr lang="en-US"/>
                  <a:t>Años cotizados</a:t>
                </a:r>
              </a:p>
            </c:rich>
          </c:tx>
          <c:layout>
            <c:manualLayout>
              <c:xMode val="edge"/>
              <c:yMode val="edge"/>
              <c:x val="0.44581329806301684"/>
              <c:y val="0.9366024701457771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985025295"/>
        <c:crosses val="autoZero"/>
        <c:auto val="1"/>
        <c:lblAlgn val="ctr"/>
        <c:lblOffset val="100"/>
        <c:noMultiLvlLbl val="0"/>
      </c:catAx>
      <c:valAx>
        <c:axId val="985025295"/>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crossAx val="985026735"/>
        <c:crosses val="autoZero"/>
        <c:crossBetween val="between"/>
      </c:valAx>
      <c:spPr>
        <a:noFill/>
        <a:ln>
          <a:noFill/>
        </a:ln>
        <a:effectLst/>
      </c:spPr>
    </c:plotArea>
    <c:legend>
      <c:legendPos val="b"/>
      <c:layout>
        <c:manualLayout>
          <c:xMode val="edge"/>
          <c:yMode val="edge"/>
          <c:x val="1.8960370338323096E-2"/>
          <c:y val="5.6908405848518249E-3"/>
          <c:w val="0.9810396296616769"/>
          <c:h val="0.1562386065378191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latin typeface="+mn-lt"/>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478225936043695E-2"/>
          <c:y val="0.11354330708661416"/>
          <c:w val="0.87078098571011953"/>
          <c:h val="0.72938939236369038"/>
        </c:manualLayout>
      </c:layout>
      <c:barChart>
        <c:barDir val="col"/>
        <c:grouping val="clustered"/>
        <c:varyColors val="0"/>
        <c:ser>
          <c:idx val="1"/>
          <c:order val="0"/>
          <c:tx>
            <c:strRef>
              <c:f>'G1'!$A$26</c:f>
              <c:strCache>
                <c:ptCount val="1"/>
                <c:pt idx="0">
                  <c:v>Población total</c:v>
                </c:pt>
              </c:strCache>
            </c:strRef>
          </c:tx>
          <c:spPr>
            <a:solidFill>
              <a:srgbClr val="5096A5"/>
            </a:solidFill>
            <a:ln w="6350">
              <a:noFill/>
            </a:ln>
          </c:spPr>
          <c:invertIfNegative val="0"/>
          <c:dLbls>
            <c:dLbl>
              <c:idx val="0"/>
              <c:layout>
                <c:manualLayout>
                  <c:x val="-2.3871242225322008E-17"/>
                  <c:y val="1.0376134889753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C1-4E83-9779-FFB52A82230B}"/>
                </c:ext>
              </c:extLst>
            </c:dLbl>
            <c:dLbl>
              <c:idx val="1"/>
              <c:layout>
                <c:manualLayout>
                  <c:x val="0"/>
                  <c:y val="1.5564202334630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C1-4E83-9779-FFB52A8223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'G1'!$B$25:$D$25</c:f>
              <c:strCache>
                <c:ptCount val="3"/>
                <c:pt idx="0">
                  <c:v>Parcialidad (% ocupados)</c:v>
                </c:pt>
                <c:pt idx="1">
                  <c:v>Temporalidad (% asalariados)</c:v>
                </c:pt>
                <c:pt idx="2">
                  <c:v>Ganancia media anual bruta (miles de €), 2023</c:v>
                </c:pt>
              </c:strCache>
            </c:strRef>
          </c:cat>
          <c:val>
            <c:numRef>
              <c:f>'G1'!$B$26:$D$26</c:f>
              <c:numCache>
                <c:formatCode>0.0</c:formatCode>
                <c:ptCount val="3"/>
                <c:pt idx="0">
                  <c:v>13.550907688684255</c:v>
                </c:pt>
                <c:pt idx="1">
                  <c:v>15.889000965303312</c:v>
                </c:pt>
                <c:pt idx="2">
                  <c:v>28.049939999999999</c:v>
                </c:pt>
              </c:numCache>
            </c:numRef>
          </c:val>
          <c:extLst>
            <c:ext xmlns:c16="http://schemas.microsoft.com/office/drawing/2014/chart" uri="{C3380CC4-5D6E-409C-BE32-E72D297353CC}">
              <c16:uniqueId val="{00000002-C3C1-4E83-9779-FFB52A82230B}"/>
            </c:ext>
          </c:extLst>
        </c:ser>
        <c:ser>
          <c:idx val="0"/>
          <c:order val="1"/>
          <c:tx>
            <c:strRef>
              <c:f>'G1'!$A$27</c:f>
              <c:strCache>
                <c:ptCount val="1"/>
                <c:pt idx="0">
                  <c:v>Jóvenes de 16 a 29 años</c:v>
                </c:pt>
              </c:strCache>
            </c:strRef>
          </c:tx>
          <c:spPr>
            <a:solidFill>
              <a:srgbClr val="96D2E1"/>
            </a:solidFill>
            <a:ln w="6350">
              <a:noFill/>
            </a:ln>
          </c:spPr>
          <c:invertIfNegative val="0"/>
          <c:dLbls>
            <c:dLbl>
              <c:idx val="0"/>
              <c:layout>
                <c:manualLayout>
                  <c:x val="-4.7742484450644017E-17"/>
                  <c:y val="1.5564202334630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C1-4E83-9779-FFB52A82230B}"/>
                </c:ext>
              </c:extLst>
            </c:dLbl>
            <c:dLbl>
              <c:idx val="1"/>
              <c:layout>
                <c:manualLayout>
                  <c:x val="9.5484968901288034E-17"/>
                  <c:y val="1.55642023346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C1-4E83-9779-FFB52A8223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'G1'!$B$25:$D$25</c:f>
              <c:strCache>
                <c:ptCount val="3"/>
                <c:pt idx="0">
                  <c:v>Parcialidad (% ocupados)</c:v>
                </c:pt>
                <c:pt idx="1">
                  <c:v>Temporalidad (% asalariados)</c:v>
                </c:pt>
                <c:pt idx="2">
                  <c:v>Ganancia media anual bruta (miles de €), 2023</c:v>
                </c:pt>
              </c:strCache>
            </c:strRef>
          </c:cat>
          <c:val>
            <c:numRef>
              <c:f>'G1'!$B$27:$D$27</c:f>
              <c:numCache>
                <c:formatCode>0.0</c:formatCode>
                <c:ptCount val="3"/>
                <c:pt idx="0">
                  <c:v>25.29341618025482</c:v>
                </c:pt>
                <c:pt idx="1">
                  <c:v>34.375524170552524</c:v>
                </c:pt>
                <c:pt idx="2">
                  <c:v>18.520216424874093</c:v>
                </c:pt>
              </c:numCache>
            </c:numRef>
          </c:val>
          <c:extLst>
            <c:ext xmlns:c16="http://schemas.microsoft.com/office/drawing/2014/chart" uri="{C3380CC4-5D6E-409C-BE32-E72D297353CC}">
              <c16:uniqueId val="{00000005-C3C1-4E83-9779-FFB52A82230B}"/>
            </c:ext>
          </c:extLst>
        </c:ser>
        <c:dLbls>
          <c:showLegendKey val="0"/>
          <c:showVal val="0"/>
          <c:showCatName val="0"/>
          <c:showSerName val="0"/>
          <c:showPercent val="0"/>
          <c:showBubbleSize val="0"/>
        </c:dLbls>
        <c:gapWidth val="50"/>
        <c:overlap val="-20"/>
        <c:axId val="224873984"/>
        <c:axId val="224708288"/>
      </c:barChart>
      <c:catAx>
        <c:axId val="224873984"/>
        <c:scaling>
          <c:orientation val="minMax"/>
        </c:scaling>
        <c:delete val="0"/>
        <c:axPos val="b"/>
        <c:numFmt formatCode="General" sourceLinked="1"/>
        <c:majorTickMark val="out"/>
        <c:minorTickMark val="none"/>
        <c:tickLblPos val="low"/>
        <c:spPr>
          <a:ln w="9525">
            <a:noFill/>
            <a:prstDash val="solid"/>
          </a:ln>
        </c:spPr>
        <c:crossAx val="224708288"/>
        <c:crosses val="autoZero"/>
        <c:auto val="1"/>
        <c:lblAlgn val="ctr"/>
        <c:lblOffset val="100"/>
        <c:noMultiLvlLbl val="0"/>
      </c:catAx>
      <c:valAx>
        <c:axId val="224708288"/>
        <c:scaling>
          <c:orientation val="minMax"/>
        </c:scaling>
        <c:delete val="0"/>
        <c:axPos val="l"/>
        <c:majorGridlines>
          <c:spPr>
            <a:ln w="6350">
              <a:solidFill>
                <a:srgbClr val="FFFFFF">
                  <a:lumMod val="75000"/>
                </a:srgbClr>
              </a:solidFill>
            </a:ln>
          </c:spPr>
        </c:majorGridlines>
        <c:numFmt formatCode="General" sourceLinked="0"/>
        <c:majorTickMark val="out"/>
        <c:minorTickMark val="none"/>
        <c:tickLblPos val="nextTo"/>
        <c:spPr>
          <a:ln w="9525">
            <a:noFill/>
          </a:ln>
        </c:spPr>
        <c:crossAx val="224873984"/>
        <c:crosses val="autoZero"/>
        <c:crossBetween val="between"/>
      </c:valAx>
      <c:spPr>
        <a:solidFill>
          <a:sysClr val="window" lastClr="FFFFFF"/>
        </a:solidFill>
        <a:ln w="9525">
          <a:noFill/>
        </a:ln>
      </c:spPr>
    </c:plotArea>
    <c:legend>
      <c:legendPos val="t"/>
      <c:layout>
        <c:manualLayout>
          <c:xMode val="edge"/>
          <c:yMode val="edge"/>
          <c:x val="0.23315399448695287"/>
          <c:y val="0"/>
          <c:w val="0.55723989171683208"/>
          <c:h val="8.2565740603179325E-2"/>
        </c:manualLayout>
      </c:layout>
      <c:overlay val="0"/>
    </c:legend>
    <c:plotVisOnly val="1"/>
    <c:dispBlanksAs val="zero"/>
    <c:showDLblsOverMax val="0"/>
  </c:chart>
  <c:spPr>
    <a:noFill/>
    <a:ln w="3175">
      <a:noFill/>
    </a:ln>
  </c:spPr>
  <c:txPr>
    <a:bodyPr/>
    <a:lstStyle/>
    <a:p>
      <a:pPr>
        <a:defRPr sz="600">
          <a:solidFill>
            <a:schemeClr val="bg1">
              <a:lumMod val="50000"/>
            </a:schemeClr>
          </a:solidFill>
          <a:latin typeface="BBVABentonSansLight" panose="00000000000000020000" pitchFamily="2" charset="0"/>
          <a:ea typeface="Tahoma" pitchFamily="34" charset="0"/>
          <a:cs typeface="Arial" pitchFamily="34" charset="0"/>
        </a:defRPr>
      </a:pPr>
      <a:endParaRPr lang="es-E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BVA Coronita">
  <a:themeElements>
    <a:clrScheme name="esenciales new">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Coronita New">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spPr>
      <a:bodyPr wrap="none" lIns="0" tIns="0" rIns="0" bIns="0" rtlCol="0" anchor="ctr">
        <a:noAutofit/>
      </a:bodyPr>
      <a:lstStyle>
        <a:defPPr algn="ctr">
          <a:defRPr u="none" dirty="0">
            <a:solidFill>
              <a:schemeClr val="bg1"/>
            </a:solidFill>
            <a:latin typeface="+mj-lt"/>
          </a:defRPr>
        </a:defPPr>
      </a:lstStyle>
    </a:spDef>
    <a:lnDef>
      <a:spPr>
        <a:ln w="3175">
          <a:solidFill>
            <a:srgbClr val="A6AAA8"/>
          </a:solidFill>
          <a:miter lim="400000"/>
        </a:ln>
      </a:spPr>
      <a:bodyPr/>
      <a:lstStyle/>
    </a:lnDef>
    <a:txDef>
      <a:spPr>
        <a:noFill/>
      </a:spPr>
      <a:bodyPr wrap="square" lIns="0" tIns="0" rIns="0" bIns="0" rtlCol="0">
        <a:noAutofit/>
      </a:bodyPr>
      <a:lstStyle>
        <a:defPPr>
          <a:defRPr sz="2000" u="none" dirty="0">
            <a:solidFill>
              <a:schemeClr val="tx2"/>
            </a:solidFill>
            <a:latin typeface="+mn-lt"/>
          </a:defRPr>
        </a:defPPr>
      </a:lstStyle>
    </a:txDef>
  </a:objectDefaults>
  <a:extraClrSchemeLst>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3">
        <a:dk1>
          <a:srgbClr val="094FA4"/>
        </a:dk1>
        <a:lt1>
          <a:srgbClr val="FFFFFF"/>
        </a:lt1>
        <a:dk2>
          <a:srgbClr val="88D1F2"/>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3EB6BB"/>
        </a:folHlink>
      </a:clrScheme>
      <a:clrMap bg1="lt1" tx1="dk1" bg2="lt2" tx2="dk2" accent1="accent1" accent2="accent2" accent3="accent3" accent4="accent4" accent5="accent5" accent6="accent6" hlink="hlink" folHlink="folHlink"/>
    </a:extraClrScheme>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6CBD-A761-48B5-921F-85E2DB41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NB_edi</Template>
  <TotalTime>80</TotalTime>
  <Pages>3</Pages>
  <Words>1749</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BBVA Fundación_Esenciales</vt:lpstr>
      <vt:lpstr>BBVA Fundación_Esenciales</vt:lpstr>
    </vt:vector>
  </TitlesOfParts>
  <Company>contentsarea</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BBVA Fundación_Esenciales</dc:title>
  <dc:subject>BBVA Fundación_Esenciales</dc:subject>
  <dc:creator>BBVA</dc:creator>
  <cp:keywords>BBVA Fundación_Esenciales</cp:keywords>
  <cp:lastModifiedBy>Susana Sabater</cp:lastModifiedBy>
  <cp:revision>9</cp:revision>
  <cp:lastPrinted>2025-06-25T09:28:00Z</cp:lastPrinted>
  <dcterms:created xsi:type="dcterms:W3CDTF">2025-07-02T07:14:00Z</dcterms:created>
  <dcterms:modified xsi:type="dcterms:W3CDTF">2025-07-02T11:36:00Z</dcterms:modified>
  <cp:category>Plantilla_NotaPrensa_BBVA Benton Sans</cp:category>
</cp:coreProperties>
</file>